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评估项目：无锡同济</w:t>
      </w:r>
      <w:r>
        <w:rPr>
          <w:rFonts w:hint="eastAsia" w:ascii="宋体" w:hAnsi="宋体" w:cs="宋体"/>
          <w:bCs/>
          <w:sz w:val="20"/>
          <w:lang w:eastAsia="zh-CN"/>
        </w:rPr>
        <w:t>工程质量</w:t>
      </w:r>
      <w:r>
        <w:rPr>
          <w:rFonts w:hint="eastAsia" w:ascii="宋体" w:hAnsi="宋体" w:cs="宋体"/>
          <w:bCs/>
          <w:sz w:val="20"/>
        </w:rPr>
        <w:t>检测有限公司全部股东权益资产评估项目</w:t>
      </w:r>
    </w:p>
    <w:p>
      <w:pPr>
        <w:rPr>
          <w:rFonts w:ascii="宋体" w:hAnsi="宋体" w:cs="宋体"/>
          <w:bCs/>
          <w:sz w:val="20"/>
        </w:rPr>
      </w:pPr>
      <w:r>
        <w:rPr>
          <w:rFonts w:hint="eastAsia" w:ascii="宋体" w:hAnsi="宋体" w:cs="宋体"/>
          <w:bCs/>
          <w:sz w:val="20"/>
        </w:rPr>
        <w:t>公示期限：202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2</w:t>
      </w:r>
      <w:r>
        <w:rPr>
          <w:rFonts w:hint="eastAsia" w:ascii="宋体" w:hAnsi="宋体" w:cs="宋体"/>
          <w:bCs/>
          <w:sz w:val="20"/>
        </w:rPr>
        <w:t>月</w:t>
      </w:r>
      <w:r>
        <w:rPr>
          <w:rFonts w:hint="eastAsia" w:ascii="宋体" w:hAnsi="宋体" w:cs="宋体"/>
          <w:bCs/>
          <w:sz w:val="20"/>
          <w:lang w:val="en-US" w:eastAsia="zh-CN"/>
        </w:rPr>
        <w:t>10</w:t>
      </w:r>
      <w:r>
        <w:rPr>
          <w:rFonts w:hint="eastAsia" w:ascii="宋体" w:hAnsi="宋体" w:cs="宋体"/>
          <w:bCs/>
          <w:sz w:val="20"/>
        </w:rPr>
        <w:t>日至202</w:t>
      </w:r>
      <w:r>
        <w:rPr>
          <w:rFonts w:hint="eastAsia" w:ascii="宋体" w:hAnsi="宋体" w:cs="宋体"/>
          <w:bCs/>
          <w:sz w:val="20"/>
          <w:lang w:val="en-US" w:eastAsia="zh-CN"/>
        </w:rPr>
        <w:t>1</w:t>
      </w:r>
      <w:r>
        <w:rPr>
          <w:rFonts w:hint="eastAsia" w:ascii="宋体" w:hAnsi="宋体" w:cs="宋体"/>
          <w:bCs/>
          <w:sz w:val="20"/>
        </w:rPr>
        <w:t>年</w:t>
      </w:r>
      <w:r>
        <w:rPr>
          <w:rFonts w:hint="eastAsia" w:ascii="宋体" w:hAnsi="宋体" w:cs="宋体"/>
          <w:bCs/>
          <w:sz w:val="20"/>
          <w:lang w:val="en-US" w:eastAsia="zh-CN"/>
        </w:rPr>
        <w:t>2</w:t>
      </w:r>
      <w:r>
        <w:rPr>
          <w:rFonts w:hint="eastAsia" w:ascii="宋体" w:hAnsi="宋体" w:cs="宋体"/>
          <w:bCs/>
          <w:sz w:val="20"/>
        </w:rPr>
        <w:t>月</w:t>
      </w:r>
      <w:r>
        <w:rPr>
          <w:rFonts w:hint="eastAsia" w:ascii="宋体" w:hAnsi="宋体" w:cs="宋体"/>
          <w:bCs/>
          <w:sz w:val="20"/>
          <w:lang w:val="en-US" w:eastAsia="zh-CN"/>
        </w:rPr>
        <w:t>22</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经济行为批准</w:t>
            </w:r>
          </w:p>
          <w:p>
            <w:pPr>
              <w:jc w:val="center"/>
              <w:rPr>
                <w:rFonts w:ascii="宋体" w:hAnsi="宋体" w:cs="宋体"/>
                <w:bCs/>
                <w:color w:val="auto"/>
                <w:sz w:val="20"/>
              </w:rPr>
            </w:pPr>
            <w:r>
              <w:rPr>
                <w:rFonts w:hint="eastAsia" w:ascii="宋体" w:hAnsi="宋体" w:cs="宋体"/>
                <w:bCs/>
                <w:color w:val="auto"/>
                <w:sz w:val="20"/>
              </w:rPr>
              <w:t>文件</w:t>
            </w:r>
          </w:p>
        </w:tc>
        <w:tc>
          <w:tcPr>
            <w:tcW w:w="6381" w:type="dxa"/>
            <w:gridSpan w:val="5"/>
            <w:noWrap w:val="0"/>
            <w:vAlign w:val="center"/>
          </w:tcPr>
          <w:p>
            <w:pPr>
              <w:rPr>
                <w:rFonts w:ascii="宋体" w:hAnsi="宋体" w:cs="宋体"/>
                <w:bCs/>
                <w:color w:val="auto"/>
                <w:sz w:val="20"/>
              </w:rPr>
            </w:pPr>
            <w:r>
              <w:rPr>
                <w:rFonts w:hint="eastAsia" w:ascii="宋体" w:hAnsi="宋体" w:cs="宋体"/>
                <w:bCs/>
                <w:color w:val="auto"/>
                <w:sz w:val="20"/>
              </w:rPr>
              <w:t>《</w:t>
            </w:r>
            <w:r>
              <w:rPr>
                <w:rFonts w:hint="eastAsia" w:ascii="宋体" w:hAnsi="宋体" w:cs="宋体"/>
                <w:bCs/>
                <w:color w:val="auto"/>
                <w:sz w:val="20"/>
                <w:lang w:val="en-US" w:eastAsia="zh-CN"/>
              </w:rPr>
              <w:t>中国长江地质集团关于同意收购无锡同济工程质量检测有限公司项目立项</w:t>
            </w:r>
            <w:r>
              <w:rPr>
                <w:rFonts w:hint="eastAsia" w:ascii="宋体" w:hAnsi="宋体" w:cs="宋体"/>
                <w:bCs/>
                <w:color w:val="auto"/>
                <w:sz w:val="20"/>
              </w:rPr>
              <w:t>的批复》（中煤</w:t>
            </w:r>
            <w:r>
              <w:rPr>
                <w:rFonts w:hint="eastAsia" w:ascii="宋体" w:hAnsi="宋体" w:cs="宋体"/>
                <w:bCs/>
                <w:color w:val="auto"/>
                <w:sz w:val="20"/>
                <w:lang w:val="en-US" w:eastAsia="zh-CN"/>
              </w:rPr>
              <w:t>长江发</w:t>
            </w:r>
            <w:r>
              <w:rPr>
                <w:rFonts w:hint="eastAsia" w:ascii="宋体" w:hAnsi="宋体" w:cs="宋体"/>
                <w:bCs/>
                <w:color w:val="auto"/>
                <w:sz w:val="20"/>
              </w:rPr>
              <w:t>〔2020〕</w:t>
            </w:r>
            <w:r>
              <w:rPr>
                <w:rFonts w:hint="eastAsia" w:ascii="宋体" w:hAnsi="宋体" w:cs="宋体"/>
                <w:bCs/>
                <w:color w:val="auto"/>
                <w:sz w:val="20"/>
                <w:lang w:val="en-US" w:eastAsia="zh-CN"/>
              </w:rPr>
              <w:t>107</w:t>
            </w:r>
            <w:r>
              <w:rPr>
                <w:rFonts w:hint="eastAsia" w:ascii="宋体" w:hAnsi="宋体" w:cs="宋体"/>
                <w:bCs/>
                <w:color w:val="auto"/>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评估机构选聘</w:t>
            </w:r>
          </w:p>
          <w:p>
            <w:pPr>
              <w:jc w:val="center"/>
              <w:rPr>
                <w:rFonts w:ascii="宋体" w:hAnsi="宋体" w:cs="宋体"/>
                <w:bCs/>
                <w:color w:val="auto"/>
                <w:sz w:val="20"/>
              </w:rPr>
            </w:pPr>
            <w:r>
              <w:rPr>
                <w:rFonts w:hint="eastAsia" w:ascii="宋体" w:hAnsi="宋体" w:cs="宋体"/>
                <w:bCs/>
                <w:color w:val="auto"/>
                <w:sz w:val="20"/>
              </w:rPr>
              <w:t>方式</w:t>
            </w:r>
          </w:p>
        </w:tc>
        <w:tc>
          <w:tcPr>
            <w:tcW w:w="6381" w:type="dxa"/>
            <w:gridSpan w:val="5"/>
            <w:noWrap w:val="0"/>
            <w:vAlign w:val="center"/>
          </w:tcPr>
          <w:p>
            <w:pPr>
              <w:rPr>
                <w:rFonts w:ascii="宋体" w:hAnsi="宋体" w:cs="宋体"/>
                <w:bCs/>
                <w:color w:val="auto"/>
                <w:sz w:val="20"/>
              </w:rPr>
            </w:pPr>
            <w:r>
              <w:rPr>
                <w:rFonts w:hint="eastAsia" w:ascii="宋体" w:hAnsi="宋体" w:cs="宋体"/>
                <w:bCs/>
                <w:sz w:val="20"/>
                <w:lang w:val="en-US" w:eastAsia="zh-CN"/>
              </w:rPr>
              <w:t>江苏局</w:t>
            </w:r>
            <w:r>
              <w:rPr>
                <w:rFonts w:hint="eastAsia" w:ascii="宋体" w:hAnsi="宋体" w:cs="宋体"/>
                <w:bCs/>
                <w:sz w:val="20"/>
              </w:rPr>
              <w:t>资产财务部拟定比选通知并</w:t>
            </w:r>
            <w:r>
              <w:rPr>
                <w:rFonts w:hint="eastAsia" w:ascii="宋体" w:hAnsi="宋体" w:cs="宋体"/>
                <w:bCs/>
                <w:sz w:val="20"/>
                <w:lang w:val="en-US" w:eastAsia="zh-CN"/>
              </w:rPr>
              <w:t>电话告知</w:t>
            </w:r>
            <w:r>
              <w:rPr>
                <w:rFonts w:hint="eastAsia" w:ascii="宋体" w:hAnsi="宋体" w:cs="宋体"/>
                <w:bCs/>
                <w:sz w:val="20"/>
              </w:rPr>
              <w:t>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评估机构及评估师资质</w:t>
            </w:r>
          </w:p>
        </w:tc>
        <w:tc>
          <w:tcPr>
            <w:tcW w:w="6381" w:type="dxa"/>
            <w:gridSpan w:val="5"/>
            <w:noWrap w:val="0"/>
            <w:vAlign w:val="center"/>
          </w:tcPr>
          <w:p>
            <w:pP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北京中天和资产评估有限公司 马文彩（资产评估师32020369） 马黎明（资产评估师32200209）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评估程序履行及审核情况</w:t>
            </w:r>
          </w:p>
        </w:tc>
        <w:tc>
          <w:tcPr>
            <w:tcW w:w="6381" w:type="dxa"/>
            <w:gridSpan w:val="5"/>
            <w:noWrap w:val="0"/>
            <w:vAlign w:val="center"/>
          </w:tcPr>
          <w:p>
            <w:pPr>
              <w:jc w:val="left"/>
              <w:rPr>
                <w:rFonts w:ascii="宋体" w:hAnsi="宋体" w:cs="宋体"/>
                <w:bCs/>
                <w:color w:val="auto"/>
                <w:sz w:val="20"/>
              </w:rPr>
            </w:pPr>
            <w:r>
              <w:rPr>
                <w:rFonts w:hint="eastAsia" w:ascii="宋体" w:hAnsi="宋体" w:cs="宋体"/>
                <w:bCs/>
                <w:color w:val="auto"/>
                <w:sz w:val="20"/>
                <w:lang w:val="en-US" w:eastAsia="zh-CN"/>
              </w:rPr>
              <w:t>中煤长江</w:t>
            </w:r>
            <w:r>
              <w:rPr>
                <w:rFonts w:hint="eastAsia" w:ascii="宋体" w:hAnsi="宋体" w:cs="宋体"/>
                <w:bCs/>
                <w:color w:val="auto"/>
                <w:sz w:val="20"/>
              </w:rPr>
              <w:t>集团选聘</w:t>
            </w:r>
            <w:r>
              <w:rPr>
                <w:rFonts w:hint="eastAsia" w:ascii="宋体" w:hAnsi="宋体" w:cs="宋体"/>
                <w:bCs/>
                <w:color w:val="auto"/>
                <w:sz w:val="20"/>
                <w:lang w:val="en-US" w:eastAsia="zh-CN"/>
              </w:rPr>
              <w:t>北京中天和资产评估有限公司</w:t>
            </w:r>
            <w:r>
              <w:rPr>
                <w:rFonts w:hint="eastAsia" w:ascii="宋体" w:hAnsi="宋体" w:cs="宋体"/>
                <w:bCs/>
                <w:color w:val="auto"/>
                <w:sz w:val="20"/>
              </w:rPr>
              <w:t>对</w:t>
            </w:r>
            <w:r>
              <w:rPr>
                <w:rFonts w:hint="eastAsia" w:ascii="宋体" w:hAnsi="宋体" w:cs="宋体"/>
                <w:bCs/>
                <w:color w:val="auto"/>
                <w:sz w:val="20"/>
                <w:lang w:val="en-US" w:eastAsia="zh-CN"/>
              </w:rPr>
              <w:t>无锡同济工程质量检测有限公司</w:t>
            </w:r>
            <w:r>
              <w:rPr>
                <w:rFonts w:hint="eastAsia" w:ascii="宋体" w:hAnsi="宋体" w:cs="宋体"/>
                <w:bCs/>
                <w:color w:val="auto"/>
                <w:sz w:val="20"/>
              </w:rPr>
              <w:t>开展评估工作</w:t>
            </w:r>
            <w:r>
              <w:rPr>
                <w:rFonts w:hint="eastAsia" w:ascii="宋体" w:hAnsi="宋体" w:cs="宋体"/>
                <w:bCs/>
                <w:color w:val="auto"/>
                <w:sz w:val="20"/>
                <w:lang w:eastAsia="zh-CN"/>
              </w:rPr>
              <w:t>并对评估报告进行了初审</w:t>
            </w:r>
            <w:r>
              <w:rPr>
                <w:rFonts w:hint="eastAsia" w:ascii="宋体" w:hAnsi="宋体" w:cs="宋体"/>
                <w:bCs/>
                <w:color w:val="auto"/>
                <w:sz w:val="20"/>
              </w:rPr>
              <w:t>，</w:t>
            </w:r>
            <w:r>
              <w:rPr>
                <w:rFonts w:hint="eastAsia" w:ascii="宋体" w:hAnsi="宋体" w:cs="宋体"/>
                <w:bCs/>
                <w:color w:val="auto"/>
                <w:sz w:val="20"/>
                <w:lang w:eastAsia="zh-CN"/>
              </w:rPr>
              <w:t>总局对评估报告进行了复审</w:t>
            </w:r>
            <w:r>
              <w:rPr>
                <w:rFonts w:hint="eastAsia" w:ascii="宋体" w:hAnsi="宋体" w:cs="宋体"/>
                <w:bCs/>
                <w:color w:val="auto"/>
                <w:sz w:val="20"/>
              </w:rPr>
              <w:t>，评估公司针对审核意见进行了修订完善。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sz w:val="20"/>
              </w:rPr>
            </w:pPr>
            <w:r>
              <w:rPr>
                <w:rFonts w:hint="eastAsia" w:ascii="宋体" w:hAnsi="宋体" w:cs="宋体"/>
                <w:bCs/>
                <w:sz w:val="20"/>
              </w:rPr>
              <w:t>5</w:t>
            </w:r>
          </w:p>
        </w:tc>
        <w:tc>
          <w:tcPr>
            <w:tcW w:w="1635" w:type="dxa"/>
            <w:noWrap w:val="0"/>
            <w:vAlign w:val="center"/>
          </w:tcPr>
          <w:p>
            <w:pPr>
              <w:jc w:val="center"/>
              <w:rPr>
                <w:rFonts w:ascii="宋体" w:hAnsi="宋体" w:cs="宋体"/>
                <w:bCs/>
                <w:color w:val="auto"/>
                <w:sz w:val="20"/>
              </w:rPr>
            </w:pPr>
            <w:r>
              <w:rPr>
                <w:rFonts w:hint="eastAsia" w:ascii="宋体" w:hAnsi="宋体" w:cs="宋体"/>
                <w:bCs/>
                <w:color w:val="auto"/>
                <w:sz w:val="20"/>
              </w:rPr>
              <w:t>评估报告摘要和特别事项说明</w:t>
            </w:r>
          </w:p>
        </w:tc>
        <w:tc>
          <w:tcPr>
            <w:tcW w:w="6381" w:type="dxa"/>
            <w:gridSpan w:val="5"/>
            <w:noWrap w:val="0"/>
            <w:vAlign w:val="center"/>
          </w:tcPr>
          <w:p>
            <w:pPr>
              <w:jc w:val="left"/>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北京中天和资产评估有限公司</w:t>
            </w:r>
            <w:r>
              <w:rPr>
                <w:rFonts w:hint="eastAsia" w:ascii="宋体" w:hAnsi="宋体" w:cs="宋体"/>
                <w:bCs/>
                <w:color w:val="auto"/>
                <w:sz w:val="20"/>
              </w:rPr>
              <w:t>接受</w:t>
            </w:r>
            <w:r>
              <w:rPr>
                <w:rFonts w:hint="eastAsia" w:ascii="宋体" w:hAnsi="宋体" w:cs="宋体"/>
                <w:bCs/>
                <w:color w:val="auto"/>
                <w:sz w:val="20"/>
                <w:lang w:val="en-US" w:eastAsia="zh-CN"/>
              </w:rPr>
              <w:t>中煤长江</w:t>
            </w:r>
            <w:r>
              <w:rPr>
                <w:rFonts w:hint="eastAsia" w:ascii="宋体" w:hAnsi="宋体" w:cs="宋体"/>
                <w:bCs/>
                <w:color w:val="auto"/>
                <w:sz w:val="20"/>
              </w:rPr>
              <w:t>集团的委托，对</w:t>
            </w:r>
            <w:r>
              <w:rPr>
                <w:rFonts w:hint="eastAsia" w:ascii="宋体" w:hAnsi="宋体" w:cs="宋体"/>
                <w:bCs/>
                <w:color w:val="auto"/>
                <w:sz w:val="20"/>
                <w:lang w:val="en-US" w:eastAsia="zh-CN"/>
              </w:rPr>
              <w:t>无锡同济工程质量检测有限公司</w:t>
            </w:r>
            <w:r>
              <w:rPr>
                <w:rFonts w:hint="eastAsia" w:ascii="宋体" w:hAnsi="宋体" w:cs="宋体"/>
                <w:bCs/>
                <w:color w:val="auto"/>
                <w:sz w:val="20"/>
              </w:rPr>
              <w:t>于2020年</w:t>
            </w:r>
            <w:r>
              <w:rPr>
                <w:rFonts w:hint="eastAsia" w:ascii="宋体" w:hAnsi="宋体" w:cs="宋体"/>
                <w:bCs/>
                <w:color w:val="auto"/>
                <w:sz w:val="20"/>
                <w:lang w:val="en-US" w:eastAsia="zh-CN"/>
              </w:rPr>
              <w:t>12</w:t>
            </w:r>
            <w:r>
              <w:rPr>
                <w:rFonts w:hint="eastAsia" w:ascii="宋体" w:hAnsi="宋体" w:cs="宋体"/>
                <w:bCs/>
                <w:color w:val="auto"/>
                <w:sz w:val="20"/>
              </w:rPr>
              <w:t>月3</w:t>
            </w:r>
            <w:r>
              <w:rPr>
                <w:rFonts w:hint="eastAsia" w:ascii="宋体" w:hAnsi="宋体" w:cs="宋体"/>
                <w:bCs/>
                <w:color w:val="auto"/>
                <w:sz w:val="20"/>
                <w:lang w:val="en-US" w:eastAsia="zh-CN"/>
              </w:rPr>
              <w:t>1</w:t>
            </w:r>
            <w:r>
              <w:rPr>
                <w:rFonts w:hint="eastAsia" w:ascii="宋体" w:hAnsi="宋体" w:cs="宋体"/>
                <w:bCs/>
                <w:color w:val="auto"/>
                <w:sz w:val="20"/>
              </w:rPr>
              <w:t>日的市场价格开展评估。估价对象为</w:t>
            </w:r>
            <w:r>
              <w:rPr>
                <w:rFonts w:hint="eastAsia" w:ascii="宋体" w:hAnsi="宋体" w:cs="宋体"/>
                <w:bCs/>
                <w:color w:val="auto"/>
                <w:sz w:val="20"/>
                <w:lang w:val="en-US" w:eastAsia="zh-CN"/>
              </w:rPr>
              <w:t>无锡同济工程质量检测有限公司</w:t>
            </w:r>
            <w:r>
              <w:rPr>
                <w:rFonts w:hint="eastAsia" w:ascii="宋体" w:hAnsi="宋体" w:cs="宋体"/>
                <w:bCs/>
                <w:color w:val="auto"/>
                <w:sz w:val="20"/>
              </w:rPr>
              <w:t>在基准日的全部股东权益。本次评估的价值类型为市场价值。本项目对委估范围内的全部资产及负债的资料收集完整，结合本次评估目的，采用了</w:t>
            </w:r>
            <w:r>
              <w:rPr>
                <w:rFonts w:hint="eastAsia" w:ascii="宋体" w:hAnsi="宋体" w:cs="宋体"/>
                <w:bCs/>
                <w:color w:val="auto"/>
                <w:sz w:val="20"/>
                <w:lang w:val="en-US" w:eastAsia="zh-CN"/>
              </w:rPr>
              <w:t>收益法</w:t>
            </w:r>
            <w:r>
              <w:rPr>
                <w:rFonts w:hint="eastAsia" w:ascii="宋体" w:hAnsi="宋体" w:cs="宋体"/>
                <w:bCs/>
                <w:color w:val="auto"/>
                <w:sz w:val="20"/>
              </w:rPr>
              <w:t>进行评估。评估过程包括评估前期工作、</w:t>
            </w:r>
            <w:r>
              <w:rPr>
                <w:rFonts w:hint="eastAsia" w:ascii="宋体" w:hAnsi="宋体" w:cs="宋体"/>
                <w:bCs/>
                <w:color w:val="auto"/>
                <w:sz w:val="20"/>
                <w:lang w:val="en-US" w:eastAsia="zh-CN"/>
              </w:rPr>
              <w:t>现场调查及收集整理评估资料工作</w:t>
            </w:r>
            <w:r>
              <w:rPr>
                <w:rFonts w:hint="eastAsia" w:ascii="宋体" w:hAnsi="宋体" w:cs="宋体"/>
                <w:bCs/>
                <w:color w:val="auto"/>
                <w:sz w:val="20"/>
              </w:rPr>
              <w:t>、</w:t>
            </w:r>
            <w:r>
              <w:rPr>
                <w:rFonts w:hint="eastAsia" w:ascii="宋体" w:hAnsi="宋体" w:cs="宋体"/>
                <w:bCs/>
                <w:color w:val="auto"/>
                <w:sz w:val="20"/>
                <w:lang w:val="en-US" w:eastAsia="zh-CN"/>
              </w:rPr>
              <w:t>评定估算工作</w:t>
            </w:r>
            <w:r>
              <w:rPr>
                <w:rFonts w:hint="eastAsia" w:ascii="宋体" w:hAnsi="宋体" w:cs="宋体"/>
                <w:bCs/>
                <w:color w:val="auto"/>
                <w:sz w:val="20"/>
              </w:rPr>
              <w:t>、</w:t>
            </w:r>
            <w:r>
              <w:rPr>
                <w:rFonts w:hint="eastAsia" w:ascii="宋体" w:hAnsi="宋体" w:cs="宋体"/>
                <w:bCs/>
                <w:color w:val="auto"/>
                <w:sz w:val="20"/>
                <w:lang w:val="en-US" w:eastAsia="zh-CN"/>
              </w:rPr>
              <w:t>汇总分析撰写报告工作</w:t>
            </w:r>
            <w:r>
              <w:rPr>
                <w:rFonts w:hint="eastAsia" w:ascii="宋体" w:hAnsi="宋体" w:cs="宋体"/>
                <w:bCs/>
                <w:color w:val="auto"/>
                <w:sz w:val="20"/>
              </w:rPr>
              <w:t>。</w:t>
            </w:r>
            <w:r>
              <w:rPr>
                <w:rFonts w:hint="eastAsia" w:ascii="宋体" w:hAnsi="宋体" w:cs="宋体"/>
                <w:bCs/>
                <w:color w:val="auto"/>
                <w:sz w:val="20"/>
                <w:lang w:val="en-US" w:eastAsia="zh-CN"/>
              </w:rPr>
              <w:t>北京中天和资产评估有限公司</w:t>
            </w:r>
            <w:r>
              <w:rPr>
                <w:rFonts w:hint="eastAsia" w:ascii="宋体" w:hAnsi="宋体" w:cs="宋体"/>
                <w:bCs/>
                <w:color w:val="auto"/>
                <w:sz w:val="20"/>
              </w:rPr>
              <w:t>本着独立、客观</w:t>
            </w:r>
            <w:r>
              <w:rPr>
                <w:rFonts w:hint="eastAsia" w:ascii="宋体" w:hAnsi="宋体" w:cs="宋体"/>
                <w:bCs/>
                <w:color w:val="auto"/>
                <w:sz w:val="20"/>
                <w:lang w:eastAsia="zh-CN"/>
              </w:rPr>
              <w:t>、</w:t>
            </w:r>
            <w:r>
              <w:rPr>
                <w:rFonts w:hint="eastAsia" w:ascii="宋体" w:hAnsi="宋体" w:cs="宋体"/>
                <w:bCs/>
                <w:color w:val="auto"/>
                <w:sz w:val="20"/>
              </w:rPr>
              <w:t>公正的原则</w:t>
            </w:r>
            <w:r>
              <w:rPr>
                <w:rFonts w:hint="eastAsia" w:ascii="宋体" w:hAnsi="宋体" w:cs="宋体"/>
                <w:bCs/>
                <w:color w:val="auto"/>
                <w:sz w:val="20"/>
                <w:lang w:val="en-US" w:eastAsia="zh-CN"/>
              </w:rPr>
              <w:t>及</w:t>
            </w:r>
            <w:r>
              <w:rPr>
                <w:rFonts w:hint="eastAsia" w:ascii="宋体" w:hAnsi="宋体" w:cs="宋体"/>
                <w:bCs/>
                <w:color w:val="auto"/>
                <w:sz w:val="20"/>
              </w:rPr>
              <w:t>必要的</w:t>
            </w:r>
            <w:r>
              <w:rPr>
                <w:rFonts w:hint="eastAsia" w:ascii="宋体" w:hAnsi="宋体" w:cs="宋体"/>
                <w:bCs/>
                <w:color w:val="auto"/>
                <w:sz w:val="20"/>
                <w:lang w:val="en-US" w:eastAsia="zh-CN"/>
              </w:rPr>
              <w:t>评估</w:t>
            </w:r>
            <w:r>
              <w:rPr>
                <w:rFonts w:hint="eastAsia" w:ascii="宋体" w:hAnsi="宋体" w:cs="宋体"/>
                <w:bCs/>
                <w:color w:val="auto"/>
                <w:sz w:val="20"/>
              </w:rPr>
              <w:t>程序，</w:t>
            </w:r>
            <w:r>
              <w:rPr>
                <w:rFonts w:hint="eastAsia" w:ascii="宋体" w:hAnsi="宋体" w:cs="宋体"/>
                <w:bCs/>
                <w:color w:val="auto"/>
                <w:sz w:val="20"/>
                <w:lang w:val="en-US" w:eastAsia="zh-CN"/>
              </w:rPr>
              <w:t>对无锡同济工程质量检测公司的股东全部权益价值进行了评估。</w:t>
            </w:r>
            <w:r>
              <w:rPr>
                <w:rFonts w:hint="eastAsia" w:ascii="宋体" w:hAnsi="宋体" w:cs="宋体"/>
                <w:bCs/>
                <w:color w:val="auto"/>
                <w:sz w:val="20"/>
              </w:rPr>
              <w:t>得出评估结论如下：</w:t>
            </w:r>
            <w:r>
              <w:rPr>
                <w:rFonts w:hint="eastAsia" w:ascii="宋体" w:hAnsi="宋体" w:cs="宋体"/>
                <w:bCs/>
                <w:color w:val="auto"/>
                <w:sz w:val="20"/>
                <w:lang w:val="en-US" w:eastAsia="zh-CN"/>
              </w:rPr>
              <w:t>经收益法评估，无锡同济工程质量检测公司总资产账面值589.98万元，评估值663.63万元，增值额73.65万元，增值率12.48%；负债账面值181.74万元，评估值181.74万元，无增减值变化；股东全部权益账面值408.24万元，评估值477.03万元（大写人民币：肆佰柒拾柒万零叁佰圆整），增值额68.79万元，增值率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color w:val="auto"/>
                <w:sz w:val="20"/>
              </w:rPr>
            </w:pPr>
            <w:r>
              <w:rPr>
                <w:rFonts w:hint="eastAsia" w:ascii="宋体" w:hAnsi="宋体" w:cs="宋体"/>
                <w:bCs/>
                <w:color w:val="auto"/>
                <w:sz w:val="20"/>
              </w:rPr>
              <w:t>评估结果汇总表</w:t>
            </w:r>
          </w:p>
          <w:p>
            <w:pPr>
              <w:jc w:val="center"/>
              <w:rPr>
                <w:rFonts w:ascii="宋体" w:hAnsi="宋体" w:cs="宋体"/>
                <w:bCs/>
                <w:color w:val="auto"/>
                <w:sz w:val="20"/>
              </w:rPr>
            </w:pPr>
            <w:r>
              <w:rPr>
                <w:rFonts w:hint="eastAsia" w:ascii="宋体" w:hAnsi="宋体" w:cs="宋体"/>
                <w:bCs/>
                <w:color w:val="auto"/>
                <w:sz w:val="20"/>
              </w:rPr>
              <w:t>（单位：万元）</w:t>
            </w: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项  目</w:t>
            </w:r>
          </w:p>
        </w:tc>
        <w:tc>
          <w:tcPr>
            <w:tcW w:w="1210" w:type="dxa"/>
            <w:noWrap w:val="0"/>
            <w:vAlign w:val="center"/>
          </w:tcPr>
          <w:p>
            <w:pPr>
              <w:jc w:val="center"/>
              <w:rPr>
                <w:rFonts w:ascii="宋体" w:hAnsi="宋体" w:cs="宋体"/>
                <w:bCs/>
                <w:color w:val="auto"/>
                <w:sz w:val="20"/>
              </w:rPr>
            </w:pPr>
            <w:r>
              <w:rPr>
                <w:rFonts w:hint="eastAsia" w:ascii="宋体" w:hAnsi="宋体" w:cs="宋体"/>
                <w:bCs/>
                <w:color w:val="auto"/>
                <w:sz w:val="20"/>
              </w:rPr>
              <w:t>账面价值</w:t>
            </w:r>
          </w:p>
        </w:tc>
        <w:tc>
          <w:tcPr>
            <w:tcW w:w="1260" w:type="dxa"/>
            <w:noWrap w:val="0"/>
            <w:vAlign w:val="center"/>
          </w:tcPr>
          <w:p>
            <w:pPr>
              <w:jc w:val="center"/>
              <w:rPr>
                <w:rFonts w:ascii="宋体" w:hAnsi="宋体" w:cs="宋体"/>
                <w:bCs/>
                <w:color w:val="auto"/>
                <w:sz w:val="20"/>
              </w:rPr>
            </w:pPr>
            <w:r>
              <w:rPr>
                <w:rFonts w:hint="eastAsia" w:ascii="宋体" w:hAnsi="宋体" w:cs="宋体"/>
                <w:bCs/>
                <w:color w:val="auto"/>
                <w:sz w:val="20"/>
              </w:rPr>
              <w:t>评估值</w:t>
            </w:r>
          </w:p>
        </w:tc>
        <w:tc>
          <w:tcPr>
            <w:tcW w:w="1230" w:type="dxa"/>
            <w:noWrap w:val="0"/>
            <w:vAlign w:val="center"/>
          </w:tcPr>
          <w:p>
            <w:pPr>
              <w:jc w:val="center"/>
              <w:rPr>
                <w:rFonts w:ascii="宋体" w:hAnsi="宋体" w:cs="宋体"/>
                <w:bCs/>
                <w:color w:val="auto"/>
                <w:sz w:val="20"/>
              </w:rPr>
            </w:pPr>
            <w:r>
              <w:rPr>
                <w:rFonts w:hint="eastAsia" w:ascii="宋体" w:hAnsi="宋体" w:cs="宋体"/>
                <w:bCs/>
                <w:color w:val="auto"/>
                <w:sz w:val="20"/>
              </w:rPr>
              <w:t>增值额</w:t>
            </w:r>
          </w:p>
        </w:tc>
        <w:tc>
          <w:tcPr>
            <w:tcW w:w="1386" w:type="dxa"/>
            <w:noWrap w:val="0"/>
            <w:vAlign w:val="center"/>
          </w:tcPr>
          <w:p>
            <w:pPr>
              <w:jc w:val="center"/>
              <w:rPr>
                <w:rFonts w:ascii="宋体" w:hAnsi="宋体" w:cs="宋体"/>
                <w:bCs/>
                <w:color w:val="auto"/>
                <w:sz w:val="20"/>
              </w:rPr>
            </w:pPr>
            <w:r>
              <w:rPr>
                <w:rFonts w:hint="eastAsia" w:ascii="宋体" w:hAnsi="宋体" w:cs="宋体"/>
                <w:bCs/>
                <w:color w:val="auto"/>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资产总额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589.98</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663.63</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73.65</w:t>
            </w:r>
          </w:p>
        </w:tc>
        <w:tc>
          <w:tcPr>
            <w:tcW w:w="1386"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负债总额</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181.74</w:t>
            </w:r>
          </w:p>
        </w:tc>
        <w:tc>
          <w:tcPr>
            <w:tcW w:w="1260" w:type="dxa"/>
            <w:noWrap w:val="0"/>
            <w:vAlign w:val="center"/>
          </w:tcPr>
          <w:p>
            <w:pPr>
              <w:widowControl/>
              <w:jc w:val="center"/>
              <w:rPr>
                <w:rFonts w:hint="default" w:ascii="宋体" w:hAnsi="宋体" w:cs="宋体"/>
                <w:bCs/>
                <w:color w:val="auto"/>
                <w:sz w:val="20"/>
                <w:lang w:val="en-US"/>
              </w:rPr>
            </w:pPr>
            <w:r>
              <w:rPr>
                <w:rFonts w:hint="eastAsia" w:ascii="宋体" w:hAnsi="宋体" w:cs="宋体"/>
                <w:bCs/>
                <w:color w:val="auto"/>
                <w:sz w:val="20"/>
                <w:lang w:val="en-US" w:eastAsia="zh-CN"/>
              </w:rPr>
              <w:t>181.74</w:t>
            </w:r>
          </w:p>
        </w:tc>
        <w:tc>
          <w:tcPr>
            <w:tcW w:w="1230" w:type="dxa"/>
            <w:noWrap w:val="0"/>
            <w:vAlign w:val="center"/>
          </w:tcPr>
          <w:p>
            <w:pPr>
              <w:jc w:val="center"/>
              <w:rPr>
                <w:rFonts w:hint="eastAsia" w:ascii="宋体" w:hAnsi="宋体" w:eastAsia="宋体" w:cs="宋体"/>
                <w:bCs/>
                <w:color w:val="auto"/>
                <w:sz w:val="20"/>
                <w:lang w:eastAsia="zh-CN"/>
              </w:rPr>
            </w:pPr>
            <w:r>
              <w:rPr>
                <w:rFonts w:hint="eastAsia" w:ascii="宋体" w:hAnsi="宋体" w:cs="宋体"/>
                <w:bCs/>
                <w:color w:val="auto"/>
                <w:sz w:val="20"/>
                <w:lang w:val="en-US" w:eastAsia="zh-CN"/>
              </w:rPr>
              <w:t>0</w:t>
            </w:r>
          </w:p>
        </w:tc>
        <w:tc>
          <w:tcPr>
            <w:tcW w:w="1386" w:type="dxa"/>
            <w:noWrap w:val="0"/>
            <w:vAlign w:val="center"/>
          </w:tcPr>
          <w:p>
            <w:pPr>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color w:val="auto"/>
                <w:sz w:val="20"/>
              </w:rPr>
            </w:pPr>
          </w:p>
        </w:tc>
        <w:tc>
          <w:tcPr>
            <w:tcW w:w="1295" w:type="dxa"/>
            <w:noWrap w:val="0"/>
            <w:vAlign w:val="center"/>
          </w:tcPr>
          <w:p>
            <w:pPr>
              <w:jc w:val="center"/>
              <w:rPr>
                <w:rFonts w:ascii="宋体" w:hAnsi="宋体" w:cs="宋体"/>
                <w:bCs/>
                <w:color w:val="auto"/>
                <w:sz w:val="20"/>
              </w:rPr>
            </w:pPr>
            <w:r>
              <w:rPr>
                <w:rFonts w:hint="eastAsia" w:ascii="宋体" w:hAnsi="宋体" w:cs="宋体"/>
                <w:bCs/>
                <w:color w:val="auto"/>
                <w:sz w:val="20"/>
              </w:rPr>
              <w:t>净 资 产</w:t>
            </w:r>
          </w:p>
        </w:tc>
        <w:tc>
          <w:tcPr>
            <w:tcW w:w="121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408.24</w:t>
            </w:r>
          </w:p>
        </w:tc>
        <w:tc>
          <w:tcPr>
            <w:tcW w:w="126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477.03</w:t>
            </w:r>
          </w:p>
        </w:tc>
        <w:tc>
          <w:tcPr>
            <w:tcW w:w="1230" w:type="dxa"/>
            <w:noWrap w:val="0"/>
            <w:vAlign w:val="center"/>
          </w:tcPr>
          <w:p>
            <w:pPr>
              <w:widowControl/>
              <w:jc w:val="center"/>
              <w:rPr>
                <w:rFonts w:hint="default" w:ascii="宋体" w:hAnsi="宋体" w:eastAsia="宋体" w:cs="宋体"/>
                <w:bCs/>
                <w:color w:val="auto"/>
                <w:sz w:val="20"/>
                <w:lang w:val="en-US" w:eastAsia="zh-CN"/>
              </w:rPr>
            </w:pPr>
            <w:r>
              <w:rPr>
                <w:rFonts w:hint="eastAsia" w:ascii="宋体" w:hAnsi="宋体" w:cs="宋体"/>
                <w:bCs/>
                <w:color w:val="auto"/>
                <w:sz w:val="20"/>
                <w:lang w:val="en-US" w:eastAsia="zh-CN"/>
              </w:rPr>
              <w:t>68.79</w:t>
            </w:r>
          </w:p>
        </w:tc>
        <w:tc>
          <w:tcPr>
            <w:tcW w:w="1386" w:type="dxa"/>
            <w:noWrap w:val="0"/>
            <w:vAlign w:val="center"/>
          </w:tcPr>
          <w:p>
            <w:pPr>
              <w:widowControl/>
              <w:jc w:val="center"/>
              <w:rPr>
                <w:rFonts w:ascii="宋体" w:hAnsi="宋体" w:cs="宋体"/>
                <w:bCs/>
                <w:color w:val="auto"/>
                <w:sz w:val="20"/>
              </w:rPr>
            </w:pPr>
            <w:r>
              <w:rPr>
                <w:rFonts w:hint="eastAsia" w:ascii="宋体" w:hAnsi="宋体" w:cs="宋体"/>
                <w:bCs/>
                <w:color w:val="auto"/>
                <w:sz w:val="20"/>
                <w:lang w:val="en-US" w:eastAsia="zh-CN"/>
              </w:rPr>
              <w:t>16.85</w:t>
            </w:r>
            <w:r>
              <w:rPr>
                <w:rFonts w:hint="eastAsia" w:ascii="宋体" w:hAnsi="宋体" w:cs="宋体"/>
                <w:bCs/>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评估批复、比选评估机构方案、评估报告初稿及审核意见等纸质及电子资料在资产财务部资产管理处。</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B0291"/>
    <w:rsid w:val="5D5B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2021-02-10T04:56:00Z</dcterms:created>
  <dc:creator>宣传处</dc:creator>
  <cp:lastModifiedBy>宣传处</cp:lastModifiedBy>
  <dcterms:modified xsi:type="dcterms:W3CDTF">2021-02-10T04:56:35Z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