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bCs/>
          <w:sz w:val="30"/>
          <w:szCs w:val="30"/>
        </w:rPr>
      </w:pPr>
      <w:r>
        <w:rPr>
          <w:rFonts w:hint="eastAsia" w:ascii="黑体" w:hAnsi="黑体" w:eastAsia="黑体" w:cs="黑体"/>
          <w:bCs/>
          <w:sz w:val="28"/>
          <w:szCs w:val="28"/>
        </w:rPr>
        <w:t>附件：</w:t>
      </w:r>
      <w:r>
        <w:rPr>
          <w:rFonts w:hint="eastAsia" w:ascii="黑体" w:hAnsi="黑体" w:eastAsia="黑体" w:cs="黑体"/>
          <w:bCs/>
          <w:sz w:val="28"/>
          <w:szCs w:val="28"/>
          <w:lang w:val="en-US" w:eastAsia="zh-CN"/>
        </w:rPr>
        <w:t xml:space="preserve">       </w:t>
      </w:r>
      <w:r>
        <w:rPr>
          <w:rFonts w:hint="eastAsia" w:ascii="黑体" w:hAnsi="黑体" w:eastAsia="黑体" w:cs="黑体"/>
          <w:bCs/>
          <w:sz w:val="30"/>
          <w:szCs w:val="30"/>
        </w:rPr>
        <w:t>中国煤炭地质总局资产评估项目公示表</w:t>
      </w:r>
    </w:p>
    <w:p>
      <w:pPr>
        <w:pStyle w:val="2"/>
      </w:pPr>
    </w:p>
    <w:p>
      <w:pPr>
        <w:rPr>
          <w:rFonts w:ascii="宋体" w:hAnsi="宋体" w:cs="宋体"/>
          <w:bCs/>
          <w:sz w:val="20"/>
        </w:rPr>
      </w:pPr>
      <w:r>
        <w:rPr>
          <w:rFonts w:hint="eastAsia" w:ascii="宋体" w:hAnsi="宋体" w:cs="宋体"/>
          <w:bCs/>
          <w:sz w:val="20"/>
        </w:rPr>
        <w:t>评估</w:t>
      </w:r>
      <w:r>
        <w:rPr>
          <w:rFonts w:hint="eastAsia" w:ascii="宋体" w:hAnsi="宋体" w:cs="宋体"/>
          <w:bCs/>
          <w:sz w:val="20"/>
          <w:szCs w:val="22"/>
        </w:rPr>
        <w:t>项目：渭南交投智纳物流产业发展有限公司股东全部权益价值</w:t>
      </w:r>
      <w:r>
        <w:rPr>
          <w:rFonts w:hint="eastAsia" w:ascii="宋体" w:hAnsi="宋体" w:cs="宋体"/>
          <w:bCs/>
          <w:sz w:val="20"/>
          <w:szCs w:val="22"/>
          <w:lang w:val="en-US" w:eastAsia="zh-CN"/>
        </w:rPr>
        <w:t>资产评估项目</w:t>
      </w:r>
    </w:p>
    <w:p>
      <w:pPr>
        <w:rPr>
          <w:rFonts w:ascii="宋体" w:hAnsi="宋体" w:cs="宋体"/>
          <w:bCs/>
          <w:sz w:val="20"/>
        </w:rPr>
      </w:pPr>
      <w:r>
        <w:rPr>
          <w:rFonts w:hint="eastAsia" w:ascii="宋体" w:hAnsi="宋体" w:cs="宋体"/>
          <w:bCs/>
          <w:sz w:val="20"/>
        </w:rPr>
        <w:t>公示期限：202</w:t>
      </w:r>
      <w:r>
        <w:rPr>
          <w:rFonts w:hint="eastAsia" w:ascii="宋体" w:hAnsi="宋体" w:cs="宋体"/>
          <w:bCs/>
          <w:sz w:val="20"/>
          <w:lang w:val="en-US" w:eastAsia="zh-CN"/>
        </w:rPr>
        <w:t>1</w:t>
      </w:r>
      <w:r>
        <w:rPr>
          <w:rFonts w:hint="eastAsia" w:ascii="宋体" w:hAnsi="宋体" w:cs="宋体"/>
          <w:bCs/>
          <w:sz w:val="20"/>
        </w:rPr>
        <w:t>年</w:t>
      </w:r>
      <w:r>
        <w:rPr>
          <w:rFonts w:hint="eastAsia" w:ascii="宋体" w:hAnsi="宋体" w:cs="宋体"/>
          <w:bCs/>
          <w:sz w:val="20"/>
          <w:lang w:val="en-US" w:eastAsia="zh-CN"/>
        </w:rPr>
        <w:t>5</w:t>
      </w:r>
      <w:r>
        <w:rPr>
          <w:rFonts w:hint="eastAsia" w:ascii="宋体" w:hAnsi="宋体" w:cs="宋体"/>
          <w:bCs/>
          <w:sz w:val="20"/>
        </w:rPr>
        <w:t>月</w:t>
      </w:r>
      <w:r>
        <w:rPr>
          <w:rFonts w:hint="eastAsia" w:ascii="宋体" w:hAnsi="宋体" w:cs="宋体"/>
          <w:bCs/>
          <w:sz w:val="20"/>
          <w:lang w:val="en-US" w:eastAsia="zh-CN"/>
        </w:rPr>
        <w:t>21</w:t>
      </w:r>
      <w:r>
        <w:rPr>
          <w:rFonts w:hint="eastAsia" w:ascii="宋体" w:hAnsi="宋体" w:cs="宋体"/>
          <w:bCs/>
          <w:sz w:val="20"/>
        </w:rPr>
        <w:t>日至202</w:t>
      </w:r>
      <w:r>
        <w:rPr>
          <w:rFonts w:hint="eastAsia" w:ascii="宋体" w:hAnsi="宋体" w:cs="宋体"/>
          <w:bCs/>
          <w:sz w:val="20"/>
          <w:lang w:val="en-US" w:eastAsia="zh-CN"/>
        </w:rPr>
        <w:t>1</w:t>
      </w:r>
      <w:r>
        <w:rPr>
          <w:rFonts w:hint="eastAsia" w:ascii="宋体" w:hAnsi="宋体" w:cs="宋体"/>
          <w:bCs/>
          <w:sz w:val="20"/>
        </w:rPr>
        <w:t>年</w:t>
      </w:r>
      <w:r>
        <w:rPr>
          <w:rFonts w:hint="eastAsia" w:ascii="宋体" w:hAnsi="宋体" w:cs="宋体"/>
          <w:bCs/>
          <w:sz w:val="20"/>
          <w:lang w:val="en-US" w:eastAsia="zh-CN"/>
        </w:rPr>
        <w:t>5</w:t>
      </w:r>
      <w:r>
        <w:rPr>
          <w:rFonts w:hint="eastAsia" w:ascii="宋体" w:hAnsi="宋体" w:cs="宋体"/>
          <w:bCs/>
          <w:sz w:val="20"/>
        </w:rPr>
        <w:t>月</w:t>
      </w:r>
      <w:r>
        <w:rPr>
          <w:rFonts w:hint="eastAsia" w:ascii="宋体" w:hAnsi="宋体" w:cs="宋体"/>
          <w:bCs/>
          <w:sz w:val="20"/>
          <w:lang w:val="en-US" w:eastAsia="zh-CN"/>
        </w:rPr>
        <w:t>27</w:t>
      </w:r>
      <w:r>
        <w:rPr>
          <w:rFonts w:hint="eastAsia" w:ascii="宋体" w:hAnsi="宋体" w:cs="宋体"/>
          <w:bCs/>
          <w:sz w:val="20"/>
        </w:rPr>
        <w:t>日</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1635"/>
        <w:gridCol w:w="1295"/>
        <w:gridCol w:w="1210"/>
        <w:gridCol w:w="1260"/>
        <w:gridCol w:w="1230"/>
        <w:gridCol w:w="1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504" w:type="dxa"/>
            <w:noWrap w:val="0"/>
            <w:vAlign w:val="center"/>
          </w:tcPr>
          <w:p>
            <w:pPr>
              <w:jc w:val="center"/>
              <w:rPr>
                <w:rFonts w:ascii="宋体" w:hAnsi="宋体" w:cs="宋体"/>
                <w:bCs/>
                <w:sz w:val="20"/>
              </w:rPr>
            </w:pPr>
            <w:r>
              <w:rPr>
                <w:rFonts w:hint="eastAsia" w:ascii="宋体" w:hAnsi="宋体" w:cs="宋体"/>
                <w:bCs/>
                <w:sz w:val="20"/>
              </w:rPr>
              <w:t>序号</w:t>
            </w:r>
          </w:p>
        </w:tc>
        <w:tc>
          <w:tcPr>
            <w:tcW w:w="1635" w:type="dxa"/>
            <w:noWrap w:val="0"/>
            <w:vAlign w:val="center"/>
          </w:tcPr>
          <w:p>
            <w:pPr>
              <w:jc w:val="center"/>
              <w:rPr>
                <w:rFonts w:ascii="宋体" w:hAnsi="宋体" w:cs="宋体"/>
                <w:bCs/>
                <w:sz w:val="20"/>
              </w:rPr>
            </w:pPr>
            <w:r>
              <w:rPr>
                <w:rFonts w:hint="eastAsia" w:ascii="宋体" w:hAnsi="宋体" w:cs="宋体"/>
                <w:bCs/>
                <w:sz w:val="20"/>
              </w:rPr>
              <w:t>公示项目</w:t>
            </w:r>
          </w:p>
        </w:tc>
        <w:tc>
          <w:tcPr>
            <w:tcW w:w="6381" w:type="dxa"/>
            <w:gridSpan w:val="5"/>
            <w:noWrap w:val="0"/>
            <w:vAlign w:val="center"/>
          </w:tcPr>
          <w:p>
            <w:pPr>
              <w:jc w:val="center"/>
              <w:rPr>
                <w:rFonts w:ascii="宋体" w:hAnsi="宋体" w:cs="宋体"/>
                <w:bCs/>
                <w:sz w:val="20"/>
              </w:rPr>
            </w:pPr>
            <w:r>
              <w:rPr>
                <w:rFonts w:hint="eastAsia" w:ascii="宋体" w:hAnsi="宋体" w:cs="宋体"/>
                <w:bCs/>
                <w:sz w:val="20"/>
              </w:rPr>
              <w:t>公示内容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504" w:type="dxa"/>
            <w:noWrap w:val="0"/>
            <w:vAlign w:val="center"/>
          </w:tcPr>
          <w:p>
            <w:pPr>
              <w:jc w:val="center"/>
              <w:rPr>
                <w:rFonts w:ascii="宋体" w:hAnsi="宋体" w:cs="宋体"/>
                <w:bCs/>
                <w:sz w:val="20"/>
              </w:rPr>
            </w:pPr>
            <w:r>
              <w:rPr>
                <w:rFonts w:hint="eastAsia" w:ascii="宋体" w:hAnsi="宋体" w:cs="宋体"/>
                <w:bCs/>
                <w:sz w:val="20"/>
              </w:rPr>
              <w:t>1</w:t>
            </w:r>
          </w:p>
        </w:tc>
        <w:tc>
          <w:tcPr>
            <w:tcW w:w="1635" w:type="dxa"/>
            <w:noWrap w:val="0"/>
            <w:vAlign w:val="center"/>
          </w:tcPr>
          <w:p>
            <w:pPr>
              <w:jc w:val="center"/>
              <w:rPr>
                <w:rFonts w:ascii="宋体" w:hAnsi="宋体" w:cs="宋体"/>
                <w:bCs/>
                <w:color w:val="auto"/>
                <w:sz w:val="20"/>
              </w:rPr>
            </w:pPr>
            <w:r>
              <w:rPr>
                <w:rFonts w:hint="eastAsia" w:ascii="宋体" w:hAnsi="宋体" w:cs="宋体"/>
                <w:bCs/>
                <w:color w:val="auto"/>
                <w:sz w:val="20"/>
              </w:rPr>
              <w:t>经济行为批准</w:t>
            </w:r>
          </w:p>
          <w:p>
            <w:pPr>
              <w:jc w:val="center"/>
              <w:rPr>
                <w:rFonts w:ascii="宋体" w:hAnsi="宋体" w:cs="宋体"/>
                <w:bCs/>
                <w:color w:val="auto"/>
                <w:sz w:val="20"/>
              </w:rPr>
            </w:pPr>
            <w:r>
              <w:rPr>
                <w:rFonts w:hint="eastAsia" w:ascii="宋体" w:hAnsi="宋体" w:cs="宋体"/>
                <w:bCs/>
                <w:color w:val="auto"/>
                <w:sz w:val="20"/>
              </w:rPr>
              <w:t>文件</w:t>
            </w:r>
          </w:p>
        </w:tc>
        <w:tc>
          <w:tcPr>
            <w:tcW w:w="6381" w:type="dxa"/>
            <w:gridSpan w:val="5"/>
            <w:noWrap w:val="0"/>
            <w:vAlign w:val="center"/>
          </w:tcPr>
          <w:p>
            <w:pPr>
              <w:rPr>
                <w:rFonts w:hint="eastAsia" w:ascii="宋体" w:hAnsi="宋体" w:eastAsia="宋体" w:cs="宋体"/>
                <w:bCs/>
                <w:color w:val="auto"/>
                <w:sz w:val="20"/>
                <w:lang w:eastAsia="zh-CN"/>
              </w:rPr>
            </w:pPr>
            <w:r>
              <w:rPr>
                <w:rFonts w:hint="eastAsia" w:ascii="宋体" w:hAnsi="宋体" w:cs="宋体"/>
                <w:bCs/>
                <w:sz w:val="20"/>
                <w:szCs w:val="22"/>
                <w:lang w:eastAsia="zh-CN"/>
              </w:rPr>
              <w:t>中煤地第二勘探局集团有限责任公司文件《中煤地第二勘探局集团有限责任公司关于转让渭南交投智纳物流产业发展有限公司股权立项的批复》</w:t>
            </w:r>
            <w:r>
              <w:rPr>
                <w:rFonts w:hint="default" w:ascii="宋体" w:hAnsi="宋体" w:cs="宋体"/>
                <w:bCs/>
                <w:sz w:val="20"/>
                <w:szCs w:val="22"/>
                <w:lang w:eastAsia="zh-CN"/>
              </w:rPr>
              <w:t>（</w:t>
            </w:r>
            <w:r>
              <w:rPr>
                <w:rFonts w:hint="eastAsia" w:ascii="宋体" w:hAnsi="宋体" w:cs="宋体"/>
                <w:bCs/>
                <w:sz w:val="20"/>
                <w:szCs w:val="22"/>
                <w:lang w:eastAsia="zh-CN"/>
              </w:rPr>
              <w:t>中煤地二局公司发〔2021〕24号</w:t>
            </w:r>
            <w:r>
              <w:rPr>
                <w:rFonts w:hint="default" w:ascii="宋体" w:hAnsi="宋体" w:cs="宋体"/>
                <w:bCs/>
                <w:sz w:val="20"/>
                <w:szCs w:val="22"/>
                <w:lang w:eastAsia="zh-CN"/>
              </w:rPr>
              <w:t>）</w:t>
            </w:r>
            <w:r>
              <w:rPr>
                <w:rFonts w:hint="eastAsia" w:ascii="宋体" w:hAnsi="宋体" w:cs="宋体"/>
                <w:bCs/>
                <w:sz w:val="20"/>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504" w:type="dxa"/>
            <w:noWrap w:val="0"/>
            <w:vAlign w:val="center"/>
          </w:tcPr>
          <w:p>
            <w:pPr>
              <w:jc w:val="center"/>
              <w:rPr>
                <w:rFonts w:ascii="宋体" w:hAnsi="宋体" w:cs="宋体"/>
                <w:bCs/>
                <w:sz w:val="20"/>
              </w:rPr>
            </w:pPr>
            <w:r>
              <w:rPr>
                <w:rFonts w:hint="eastAsia" w:ascii="宋体" w:hAnsi="宋体" w:cs="宋体"/>
                <w:bCs/>
                <w:sz w:val="20"/>
              </w:rPr>
              <w:t>2</w:t>
            </w:r>
          </w:p>
        </w:tc>
        <w:tc>
          <w:tcPr>
            <w:tcW w:w="1635" w:type="dxa"/>
            <w:noWrap w:val="0"/>
            <w:vAlign w:val="center"/>
          </w:tcPr>
          <w:p>
            <w:pPr>
              <w:jc w:val="center"/>
              <w:rPr>
                <w:rFonts w:ascii="宋体" w:hAnsi="宋体" w:cs="宋体"/>
                <w:bCs/>
                <w:color w:val="auto"/>
                <w:sz w:val="20"/>
              </w:rPr>
            </w:pPr>
            <w:r>
              <w:rPr>
                <w:rFonts w:hint="eastAsia" w:ascii="宋体" w:hAnsi="宋体" w:cs="宋体"/>
                <w:bCs/>
                <w:color w:val="auto"/>
                <w:sz w:val="20"/>
              </w:rPr>
              <w:t>评估机构选聘</w:t>
            </w:r>
          </w:p>
          <w:p>
            <w:pPr>
              <w:jc w:val="center"/>
              <w:rPr>
                <w:rFonts w:ascii="宋体" w:hAnsi="宋体" w:cs="宋体"/>
                <w:bCs/>
                <w:color w:val="auto"/>
                <w:sz w:val="20"/>
              </w:rPr>
            </w:pPr>
            <w:r>
              <w:rPr>
                <w:rFonts w:hint="eastAsia" w:ascii="宋体" w:hAnsi="宋体" w:cs="宋体"/>
                <w:bCs/>
                <w:color w:val="auto"/>
                <w:sz w:val="20"/>
              </w:rPr>
              <w:t>方式</w:t>
            </w:r>
          </w:p>
        </w:tc>
        <w:tc>
          <w:tcPr>
            <w:tcW w:w="6381" w:type="dxa"/>
            <w:gridSpan w:val="5"/>
            <w:noWrap w:val="0"/>
            <w:vAlign w:val="center"/>
          </w:tcPr>
          <w:p>
            <w:pPr>
              <w:rPr>
                <w:rFonts w:ascii="宋体" w:hAnsi="宋体" w:cs="宋体"/>
                <w:bCs/>
                <w:color w:val="auto"/>
                <w:sz w:val="20"/>
              </w:rPr>
            </w:pPr>
            <w:r>
              <w:rPr>
                <w:rFonts w:hint="eastAsia" w:ascii="宋体" w:hAnsi="宋体" w:cs="宋体"/>
                <w:bCs/>
                <w:sz w:val="20"/>
              </w:rPr>
              <w:t>中国煤炭地质总局拟定比选通知并</w:t>
            </w:r>
            <w:r>
              <w:rPr>
                <w:rFonts w:hint="eastAsia" w:ascii="宋体" w:hAnsi="宋体" w:cs="宋体"/>
                <w:bCs/>
                <w:sz w:val="20"/>
                <w:lang w:val="en-US" w:eastAsia="zh-CN"/>
              </w:rPr>
              <w:t>以邮件告知</w:t>
            </w:r>
            <w:r>
              <w:rPr>
                <w:rFonts w:hint="eastAsia" w:ascii="宋体" w:hAnsi="宋体" w:cs="宋体"/>
                <w:bCs/>
                <w:sz w:val="20"/>
              </w:rPr>
              <w:t>总局评估机构备选库中具有资产评估资质的评估机构，并组织相关部门召开评估机构比选会议，对评估机构报送的评估方案进行审查，比选出符合要求的评估机构。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04" w:type="dxa"/>
            <w:noWrap w:val="0"/>
            <w:vAlign w:val="center"/>
          </w:tcPr>
          <w:p>
            <w:pPr>
              <w:jc w:val="center"/>
              <w:rPr>
                <w:rFonts w:ascii="宋体" w:hAnsi="宋体" w:cs="宋体"/>
                <w:bCs/>
                <w:sz w:val="20"/>
              </w:rPr>
            </w:pPr>
            <w:r>
              <w:rPr>
                <w:rFonts w:hint="eastAsia" w:ascii="宋体" w:hAnsi="宋体" w:cs="宋体"/>
                <w:bCs/>
                <w:sz w:val="20"/>
              </w:rPr>
              <w:t>3</w:t>
            </w:r>
          </w:p>
        </w:tc>
        <w:tc>
          <w:tcPr>
            <w:tcW w:w="1635" w:type="dxa"/>
            <w:noWrap w:val="0"/>
            <w:vAlign w:val="center"/>
          </w:tcPr>
          <w:p>
            <w:pPr>
              <w:jc w:val="center"/>
              <w:rPr>
                <w:rFonts w:ascii="宋体" w:hAnsi="宋体" w:cs="宋体"/>
                <w:bCs/>
                <w:color w:val="auto"/>
                <w:sz w:val="20"/>
              </w:rPr>
            </w:pPr>
            <w:r>
              <w:rPr>
                <w:rFonts w:hint="eastAsia" w:ascii="宋体" w:hAnsi="宋体" w:cs="宋体"/>
                <w:bCs/>
                <w:color w:val="auto"/>
                <w:sz w:val="20"/>
              </w:rPr>
              <w:t>评估机构及评估师资质</w:t>
            </w:r>
          </w:p>
        </w:tc>
        <w:tc>
          <w:tcPr>
            <w:tcW w:w="6381" w:type="dxa"/>
            <w:gridSpan w:val="5"/>
            <w:noWrap w:val="0"/>
            <w:vAlign w:val="center"/>
          </w:tcPr>
          <w:p>
            <w:pPr>
              <w:rPr>
                <w:rFonts w:hint="default" w:ascii="宋体" w:hAnsi="宋体" w:eastAsia="宋体" w:cs="宋体"/>
                <w:bCs/>
                <w:color w:val="auto"/>
                <w:sz w:val="20"/>
                <w:highlight w:val="none"/>
                <w:lang w:val="en-US" w:eastAsia="zh-CN"/>
              </w:rPr>
            </w:pPr>
            <w:r>
              <w:rPr>
                <w:rFonts w:hint="eastAsia" w:ascii="宋体" w:hAnsi="宋体" w:cs="宋体"/>
                <w:bCs/>
                <w:color w:val="auto"/>
                <w:sz w:val="20"/>
                <w:highlight w:val="none"/>
                <w:lang w:val="en-US"/>
              </w:rPr>
              <w:t>北京经纬仁达资产评估有限公司</w:t>
            </w:r>
            <w:r>
              <w:rPr>
                <w:rFonts w:hint="eastAsia" w:ascii="宋体" w:hAnsi="宋体" w:cs="宋体"/>
                <w:bCs/>
                <w:color w:val="auto"/>
                <w:sz w:val="20"/>
                <w:highlight w:val="none"/>
                <w:lang w:val="en-US" w:eastAsia="zh-CN"/>
              </w:rPr>
              <w:t xml:space="preserve"> </w:t>
            </w:r>
            <w:r>
              <w:rPr>
                <w:rFonts w:hint="eastAsia" w:ascii="宋体" w:hAnsi="宋体" w:cs="宋体"/>
                <w:bCs/>
                <w:color w:val="auto"/>
                <w:sz w:val="20"/>
                <w:highlight w:val="none"/>
                <w:lang w:val="en-US"/>
              </w:rPr>
              <w:t>赵芹</w:t>
            </w:r>
            <w:r>
              <w:rPr>
                <w:rFonts w:hint="eastAsia" w:ascii="宋体" w:hAnsi="宋体" w:cs="宋体"/>
                <w:bCs/>
                <w:color w:val="auto"/>
                <w:sz w:val="20"/>
                <w:highlight w:val="none"/>
                <w:lang w:val="en-US" w:eastAsia="zh-CN"/>
              </w:rPr>
              <w:t>（资产评估师</w:t>
            </w:r>
            <w:r>
              <w:rPr>
                <w:rFonts w:hint="default" w:ascii="宋体" w:hAnsi="宋体" w:cs="宋体"/>
                <w:bCs/>
                <w:color w:val="auto"/>
                <w:sz w:val="20"/>
                <w:highlight w:val="none"/>
                <w:lang w:eastAsia="zh-CN"/>
              </w:rPr>
              <w:t>11170087</w:t>
            </w:r>
            <w:r>
              <w:rPr>
                <w:rFonts w:hint="eastAsia" w:ascii="宋体" w:hAnsi="宋体" w:cs="宋体"/>
                <w:bCs/>
                <w:color w:val="auto"/>
                <w:sz w:val="20"/>
                <w:highlight w:val="none"/>
                <w:lang w:val="en-US" w:eastAsia="zh-CN"/>
              </w:rPr>
              <w:t xml:space="preserve">） </w:t>
            </w:r>
            <w:r>
              <w:rPr>
                <w:rFonts w:hint="eastAsia" w:ascii="宋体" w:hAnsi="宋体" w:cs="宋体"/>
                <w:bCs/>
                <w:color w:val="auto"/>
                <w:sz w:val="20"/>
                <w:highlight w:val="none"/>
                <w:lang w:val="en-US"/>
              </w:rPr>
              <w:t>王敏</w:t>
            </w:r>
            <w:r>
              <w:rPr>
                <w:rFonts w:hint="eastAsia" w:ascii="宋体" w:hAnsi="宋体" w:cs="宋体"/>
                <w:bCs/>
                <w:color w:val="auto"/>
                <w:sz w:val="20"/>
                <w:highlight w:val="none"/>
                <w:lang w:val="en-US" w:eastAsia="zh-CN"/>
              </w:rPr>
              <w:t>（资产评估师11200057）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504" w:type="dxa"/>
            <w:noWrap w:val="0"/>
            <w:vAlign w:val="center"/>
          </w:tcPr>
          <w:p>
            <w:pPr>
              <w:jc w:val="center"/>
              <w:rPr>
                <w:rFonts w:ascii="宋体" w:hAnsi="宋体" w:cs="宋体"/>
                <w:bCs/>
                <w:sz w:val="20"/>
              </w:rPr>
            </w:pPr>
            <w:r>
              <w:rPr>
                <w:rFonts w:hint="eastAsia" w:ascii="宋体" w:hAnsi="宋体" w:cs="宋体"/>
                <w:bCs/>
                <w:sz w:val="20"/>
              </w:rPr>
              <w:t>4</w:t>
            </w:r>
          </w:p>
        </w:tc>
        <w:tc>
          <w:tcPr>
            <w:tcW w:w="1635" w:type="dxa"/>
            <w:noWrap w:val="0"/>
            <w:vAlign w:val="center"/>
          </w:tcPr>
          <w:p>
            <w:pPr>
              <w:jc w:val="center"/>
              <w:rPr>
                <w:rFonts w:ascii="宋体" w:hAnsi="宋体" w:cs="宋体"/>
                <w:bCs/>
                <w:color w:val="auto"/>
                <w:sz w:val="20"/>
              </w:rPr>
            </w:pPr>
            <w:r>
              <w:rPr>
                <w:rFonts w:hint="eastAsia" w:ascii="宋体" w:hAnsi="宋体" w:cs="宋体"/>
                <w:bCs/>
                <w:color w:val="auto"/>
                <w:sz w:val="20"/>
              </w:rPr>
              <w:t>评估程序履行及审核情况</w:t>
            </w:r>
          </w:p>
        </w:tc>
        <w:tc>
          <w:tcPr>
            <w:tcW w:w="6381" w:type="dxa"/>
            <w:gridSpan w:val="5"/>
            <w:noWrap w:val="0"/>
            <w:vAlign w:val="center"/>
          </w:tcPr>
          <w:p>
            <w:pPr>
              <w:jc w:val="left"/>
              <w:rPr>
                <w:rFonts w:ascii="宋体" w:hAnsi="宋体" w:cs="宋体"/>
                <w:bCs/>
                <w:color w:val="auto"/>
                <w:sz w:val="20"/>
                <w:highlight w:val="none"/>
              </w:rPr>
            </w:pPr>
            <w:r>
              <w:rPr>
                <w:rFonts w:hint="eastAsia" w:ascii="宋体" w:hAnsi="宋体" w:cs="宋体"/>
                <w:bCs/>
                <w:color w:val="auto"/>
                <w:sz w:val="20"/>
                <w:highlight w:val="none"/>
              </w:rPr>
              <w:t>中能化常州物流有限公司选聘北京经纬仁达资产评估有限公司对渭南交投智纳物流产业发展有限公司开展评估工作</w:t>
            </w:r>
            <w:r>
              <w:rPr>
                <w:rFonts w:hint="eastAsia" w:ascii="宋体" w:hAnsi="宋体" w:cs="宋体"/>
                <w:bCs/>
                <w:color w:val="auto"/>
                <w:sz w:val="20"/>
                <w:highlight w:val="none"/>
                <w:lang w:val="en-US"/>
              </w:rPr>
              <w:t>并根据</w:t>
            </w:r>
            <w:r>
              <w:rPr>
                <w:rFonts w:hint="eastAsia" w:ascii="宋体" w:hAnsi="宋体" w:cs="宋体"/>
                <w:bCs/>
                <w:color w:val="auto"/>
                <w:sz w:val="20"/>
                <w:highlight w:val="none"/>
                <w:lang w:eastAsia="zh-CN"/>
              </w:rPr>
              <w:t>总局对评估报告</w:t>
            </w:r>
            <w:r>
              <w:rPr>
                <w:rFonts w:hint="eastAsia" w:ascii="宋体" w:hAnsi="宋体" w:cs="宋体"/>
                <w:bCs/>
                <w:color w:val="auto"/>
                <w:sz w:val="20"/>
                <w:highlight w:val="none"/>
                <w:lang w:val="en-US"/>
              </w:rPr>
              <w:t>审核意见</w:t>
            </w:r>
            <w:r>
              <w:rPr>
                <w:rFonts w:hint="eastAsia" w:ascii="宋体" w:hAnsi="宋体" w:cs="宋体"/>
                <w:bCs/>
                <w:color w:val="auto"/>
                <w:sz w:val="20"/>
                <w:highlight w:val="none"/>
              </w:rPr>
              <w:t>进行了修订完善。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4" w:hRule="atLeast"/>
        </w:trPr>
        <w:tc>
          <w:tcPr>
            <w:tcW w:w="504" w:type="dxa"/>
            <w:noWrap w:val="0"/>
            <w:vAlign w:val="center"/>
          </w:tcPr>
          <w:p>
            <w:pPr>
              <w:jc w:val="center"/>
              <w:rPr>
                <w:rFonts w:ascii="宋体" w:hAnsi="宋体" w:cs="宋体"/>
                <w:bCs/>
                <w:sz w:val="20"/>
              </w:rPr>
            </w:pPr>
            <w:r>
              <w:rPr>
                <w:rFonts w:hint="eastAsia" w:ascii="宋体" w:hAnsi="宋体" w:cs="宋体"/>
                <w:bCs/>
                <w:sz w:val="20"/>
              </w:rPr>
              <w:t>5</w:t>
            </w:r>
          </w:p>
        </w:tc>
        <w:tc>
          <w:tcPr>
            <w:tcW w:w="1635" w:type="dxa"/>
            <w:noWrap w:val="0"/>
            <w:vAlign w:val="center"/>
          </w:tcPr>
          <w:p>
            <w:pPr>
              <w:jc w:val="center"/>
              <w:rPr>
                <w:rFonts w:ascii="宋体" w:hAnsi="宋体" w:cs="宋体"/>
                <w:bCs/>
                <w:color w:val="auto"/>
                <w:sz w:val="20"/>
              </w:rPr>
            </w:pPr>
            <w:r>
              <w:rPr>
                <w:rFonts w:hint="eastAsia" w:ascii="宋体" w:hAnsi="宋体" w:cs="宋体"/>
                <w:bCs/>
                <w:color w:val="auto"/>
                <w:sz w:val="20"/>
              </w:rPr>
              <w:t>评估报告摘要和特别事项说明</w:t>
            </w:r>
          </w:p>
        </w:tc>
        <w:tc>
          <w:tcPr>
            <w:tcW w:w="6381" w:type="dxa"/>
            <w:gridSpan w:val="5"/>
            <w:noWrap w:val="0"/>
            <w:vAlign w:val="center"/>
          </w:tcPr>
          <w:p>
            <w:pPr>
              <w:pStyle w:val="5"/>
              <w:widowControl w:val="0"/>
              <w:wordWrap/>
              <w:adjustRightInd w:val="0"/>
              <w:snapToGrid w:val="0"/>
              <w:spacing w:line="320" w:lineRule="exact"/>
              <w:ind w:left="0" w:leftChars="0" w:firstLine="0" w:firstLineChars="0"/>
              <w:textAlignment w:val="auto"/>
              <w:rPr>
                <w:rFonts w:hint="default" w:ascii="宋体" w:hAnsi="宋体" w:eastAsia="宋体" w:cs="宋体"/>
                <w:bCs/>
                <w:color w:val="auto"/>
                <w:sz w:val="20"/>
                <w:highlight w:val="none"/>
                <w:lang w:val="en-US" w:eastAsia="zh-CN"/>
              </w:rPr>
            </w:pPr>
            <w:r>
              <w:rPr>
                <w:rFonts w:hint="eastAsia" w:ascii="宋体" w:hAnsi="宋体" w:eastAsia="宋体" w:cs="宋体"/>
                <w:bCs/>
                <w:color w:val="auto"/>
                <w:kern w:val="2"/>
                <w:sz w:val="20"/>
                <w:szCs w:val="22"/>
                <w:highlight w:val="none"/>
                <w:lang w:val="en-US" w:eastAsia="zh-CN" w:bidi="ar-SA"/>
              </w:rPr>
              <w:t>北京经纬仁达资产评估有限公司接受中能化常州物流有限公司的委托，对渭南交投智纳物流产业发展有限公司于2020年</w:t>
            </w:r>
            <w:r>
              <w:rPr>
                <w:rFonts w:hint="default" w:ascii="宋体" w:hAnsi="宋体" w:eastAsia="宋体" w:cs="宋体"/>
                <w:bCs/>
                <w:color w:val="auto"/>
                <w:kern w:val="2"/>
                <w:sz w:val="20"/>
                <w:szCs w:val="22"/>
                <w:highlight w:val="none"/>
                <w:lang w:eastAsia="zh-CN" w:bidi="ar-SA"/>
              </w:rPr>
              <w:t>12</w:t>
            </w:r>
            <w:r>
              <w:rPr>
                <w:rFonts w:hint="eastAsia" w:ascii="宋体" w:hAnsi="宋体" w:eastAsia="宋体" w:cs="宋体"/>
                <w:bCs/>
                <w:color w:val="auto"/>
                <w:kern w:val="2"/>
                <w:sz w:val="20"/>
                <w:szCs w:val="22"/>
                <w:highlight w:val="none"/>
                <w:lang w:val="en-US" w:eastAsia="zh-CN" w:bidi="ar-SA"/>
              </w:rPr>
              <w:t>月31日的市场价格开展评估。估价对象为渭南交投智纳物流产业发展有限公司在基准日的全部股东权益。本次评估的价值类型为市场价值。本项目对委估范围内的全部资产及负债的资料收集完整，结合本次评估目的，采用了资产基础法</w:t>
            </w:r>
            <w:r>
              <w:rPr>
                <w:rFonts w:hint="eastAsia" w:ascii="宋体" w:hAnsi="宋体" w:eastAsia="宋体" w:cs="宋体"/>
                <w:bCs/>
                <w:color w:val="auto"/>
                <w:kern w:val="2"/>
                <w:sz w:val="20"/>
                <w:szCs w:val="22"/>
                <w:highlight w:val="none"/>
                <w:lang w:val="en-US" w:bidi="ar-SA"/>
              </w:rPr>
              <w:t>和收益法</w:t>
            </w:r>
            <w:r>
              <w:rPr>
                <w:rFonts w:hint="eastAsia" w:ascii="宋体" w:hAnsi="宋体" w:eastAsia="宋体" w:cs="宋体"/>
                <w:bCs/>
                <w:color w:val="auto"/>
                <w:kern w:val="2"/>
                <w:sz w:val="20"/>
                <w:szCs w:val="22"/>
                <w:highlight w:val="none"/>
                <w:lang w:val="en-US" w:eastAsia="zh-CN" w:bidi="ar-SA"/>
              </w:rPr>
              <w:t>进行评估。评估过程包括经实施清查核实、实地查勘、市场调查和询证、评定估算等评估程序及收集整理评估资料工作、评定估算工作、汇总分析撰写报告工作。北京经纬仁达资产评估有限公司本着独立、客观、公正的原则及必要的评估程序，对渭南交投智纳物流产业发展有限公司的股东全部权益价值进行了评估。得出评估结论如下：经资产基础法评估，总资产账面值</w:t>
            </w:r>
            <w:r>
              <w:rPr>
                <w:rFonts w:hint="default" w:ascii="宋体" w:hAnsi="宋体" w:eastAsia="宋体" w:cs="宋体"/>
                <w:bCs/>
                <w:color w:val="auto"/>
                <w:kern w:val="2"/>
                <w:sz w:val="20"/>
                <w:szCs w:val="22"/>
                <w:highlight w:val="none"/>
                <w:lang w:eastAsia="zh-CN" w:bidi="ar-SA"/>
              </w:rPr>
              <w:t>117</w:t>
            </w:r>
            <w:r>
              <w:rPr>
                <w:rFonts w:hint="eastAsia" w:ascii="宋体" w:hAnsi="宋体" w:eastAsia="宋体" w:cs="宋体"/>
                <w:bCs/>
                <w:color w:val="auto"/>
                <w:kern w:val="2"/>
                <w:sz w:val="20"/>
                <w:szCs w:val="22"/>
                <w:highlight w:val="none"/>
                <w:lang w:val="en-US" w:bidi="ar-SA"/>
              </w:rPr>
              <w:t>.</w:t>
            </w:r>
            <w:r>
              <w:rPr>
                <w:rFonts w:hint="default" w:ascii="宋体" w:hAnsi="宋体" w:eastAsia="宋体" w:cs="宋体"/>
                <w:bCs/>
                <w:color w:val="auto"/>
                <w:kern w:val="2"/>
                <w:sz w:val="20"/>
                <w:szCs w:val="22"/>
                <w:highlight w:val="none"/>
                <w:lang w:bidi="ar-SA"/>
              </w:rPr>
              <w:t>45</w:t>
            </w:r>
            <w:r>
              <w:rPr>
                <w:rFonts w:hint="eastAsia" w:ascii="宋体" w:hAnsi="宋体" w:eastAsia="宋体" w:cs="宋体"/>
                <w:bCs/>
                <w:color w:val="auto"/>
                <w:kern w:val="2"/>
                <w:sz w:val="20"/>
                <w:szCs w:val="22"/>
                <w:highlight w:val="none"/>
                <w:lang w:val="en-US" w:eastAsia="zh-CN" w:bidi="ar-SA"/>
              </w:rPr>
              <w:t>万元，评估值</w:t>
            </w:r>
            <w:r>
              <w:rPr>
                <w:rFonts w:hint="default" w:ascii="宋体" w:hAnsi="宋体" w:eastAsia="宋体" w:cs="宋体"/>
                <w:bCs/>
                <w:color w:val="auto"/>
                <w:kern w:val="2"/>
                <w:sz w:val="20"/>
                <w:szCs w:val="22"/>
                <w:highlight w:val="none"/>
                <w:lang w:eastAsia="zh-CN" w:bidi="ar-SA"/>
              </w:rPr>
              <w:t>117</w:t>
            </w:r>
            <w:r>
              <w:rPr>
                <w:rFonts w:hint="eastAsia" w:ascii="宋体" w:hAnsi="宋体" w:eastAsia="宋体" w:cs="宋体"/>
                <w:bCs/>
                <w:color w:val="auto"/>
                <w:kern w:val="2"/>
                <w:sz w:val="20"/>
                <w:szCs w:val="22"/>
                <w:highlight w:val="none"/>
                <w:lang w:val="en-US" w:bidi="ar-SA"/>
              </w:rPr>
              <w:t>.</w:t>
            </w:r>
            <w:r>
              <w:rPr>
                <w:rFonts w:hint="default" w:ascii="宋体" w:hAnsi="宋体" w:eastAsia="宋体" w:cs="宋体"/>
                <w:bCs/>
                <w:color w:val="auto"/>
                <w:kern w:val="2"/>
                <w:sz w:val="20"/>
                <w:szCs w:val="22"/>
                <w:highlight w:val="none"/>
                <w:lang w:bidi="ar-SA"/>
              </w:rPr>
              <w:t>46</w:t>
            </w:r>
            <w:r>
              <w:rPr>
                <w:rFonts w:hint="eastAsia" w:ascii="宋体" w:hAnsi="宋体" w:eastAsia="宋体" w:cs="宋体"/>
                <w:bCs/>
                <w:color w:val="auto"/>
                <w:kern w:val="2"/>
                <w:sz w:val="20"/>
                <w:szCs w:val="22"/>
                <w:highlight w:val="none"/>
                <w:lang w:val="en-US" w:eastAsia="zh-CN" w:bidi="ar-SA"/>
              </w:rPr>
              <w:t>万元，</w:t>
            </w:r>
            <w:r>
              <w:rPr>
                <w:rFonts w:hint="eastAsia" w:ascii="宋体" w:hAnsi="宋体" w:eastAsia="宋体" w:cs="宋体"/>
                <w:bCs/>
                <w:color w:val="auto"/>
                <w:kern w:val="2"/>
                <w:sz w:val="20"/>
                <w:szCs w:val="22"/>
                <w:highlight w:val="none"/>
                <w:lang w:val="en-US" w:bidi="ar-SA"/>
              </w:rPr>
              <w:t>评估增值</w:t>
            </w:r>
            <w:r>
              <w:rPr>
                <w:rFonts w:hint="default" w:ascii="宋体" w:hAnsi="宋体" w:eastAsia="宋体" w:cs="宋体"/>
                <w:bCs/>
                <w:color w:val="auto"/>
                <w:kern w:val="2"/>
                <w:sz w:val="20"/>
                <w:szCs w:val="22"/>
                <w:highlight w:val="none"/>
                <w:lang w:bidi="ar-SA"/>
              </w:rPr>
              <w:t>0</w:t>
            </w:r>
            <w:r>
              <w:rPr>
                <w:rFonts w:hint="eastAsia" w:ascii="宋体" w:hAnsi="宋体" w:eastAsia="宋体" w:cs="宋体"/>
                <w:bCs/>
                <w:color w:val="auto"/>
                <w:kern w:val="2"/>
                <w:sz w:val="20"/>
                <w:szCs w:val="22"/>
                <w:highlight w:val="none"/>
                <w:lang w:val="en-US" w:bidi="ar-SA"/>
              </w:rPr>
              <w:t>.</w:t>
            </w:r>
            <w:r>
              <w:rPr>
                <w:rFonts w:hint="default" w:ascii="宋体" w:hAnsi="宋体" w:eastAsia="宋体" w:cs="宋体"/>
                <w:bCs/>
                <w:color w:val="auto"/>
                <w:kern w:val="2"/>
                <w:sz w:val="20"/>
                <w:szCs w:val="22"/>
                <w:highlight w:val="none"/>
                <w:lang w:bidi="ar-SA"/>
              </w:rPr>
              <w:t>01</w:t>
            </w:r>
            <w:r>
              <w:rPr>
                <w:rFonts w:hint="eastAsia" w:ascii="宋体" w:hAnsi="宋体" w:eastAsia="宋体" w:cs="宋体"/>
                <w:bCs/>
                <w:color w:val="auto"/>
                <w:kern w:val="2"/>
                <w:sz w:val="20"/>
                <w:szCs w:val="22"/>
                <w:highlight w:val="none"/>
                <w:lang w:val="en-US" w:bidi="ar-SA"/>
              </w:rPr>
              <w:t>万元</w:t>
            </w:r>
            <w:r>
              <w:rPr>
                <w:rFonts w:hint="eastAsia" w:ascii="宋体" w:hAnsi="宋体" w:eastAsia="宋体" w:cs="宋体"/>
                <w:bCs/>
                <w:color w:val="auto"/>
                <w:kern w:val="2"/>
                <w:sz w:val="20"/>
                <w:szCs w:val="22"/>
                <w:highlight w:val="none"/>
                <w:lang w:val="en-US" w:eastAsia="zh-CN" w:bidi="ar-SA"/>
              </w:rPr>
              <w:t>。负债账面值</w:t>
            </w:r>
            <w:r>
              <w:rPr>
                <w:rFonts w:hint="default" w:ascii="宋体" w:hAnsi="宋体" w:eastAsia="宋体" w:cs="宋体"/>
                <w:bCs/>
                <w:color w:val="auto"/>
                <w:kern w:val="2"/>
                <w:sz w:val="20"/>
                <w:szCs w:val="22"/>
                <w:highlight w:val="none"/>
                <w:lang w:eastAsia="zh-CN" w:bidi="ar-SA"/>
              </w:rPr>
              <w:t>22</w:t>
            </w:r>
            <w:r>
              <w:rPr>
                <w:rFonts w:hint="eastAsia" w:ascii="宋体" w:hAnsi="宋体" w:eastAsia="宋体" w:cs="宋体"/>
                <w:bCs/>
                <w:color w:val="auto"/>
                <w:kern w:val="2"/>
                <w:sz w:val="20"/>
                <w:szCs w:val="22"/>
                <w:highlight w:val="none"/>
                <w:lang w:val="en-US" w:bidi="ar-SA"/>
              </w:rPr>
              <w:t>.</w:t>
            </w:r>
            <w:r>
              <w:rPr>
                <w:rFonts w:hint="default" w:ascii="宋体" w:hAnsi="宋体" w:eastAsia="宋体" w:cs="宋体"/>
                <w:bCs/>
                <w:color w:val="auto"/>
                <w:kern w:val="2"/>
                <w:sz w:val="20"/>
                <w:szCs w:val="22"/>
                <w:highlight w:val="none"/>
                <w:lang w:bidi="ar-SA"/>
              </w:rPr>
              <w:t>43</w:t>
            </w:r>
            <w:r>
              <w:rPr>
                <w:rFonts w:hint="eastAsia" w:ascii="宋体" w:hAnsi="宋体" w:eastAsia="宋体" w:cs="宋体"/>
                <w:bCs/>
                <w:color w:val="auto"/>
                <w:kern w:val="2"/>
                <w:sz w:val="20"/>
                <w:szCs w:val="22"/>
                <w:highlight w:val="none"/>
                <w:lang w:val="en-US" w:eastAsia="zh-CN" w:bidi="ar-SA"/>
              </w:rPr>
              <w:t>万元，评估值</w:t>
            </w:r>
            <w:r>
              <w:rPr>
                <w:rFonts w:hint="default" w:ascii="宋体" w:hAnsi="宋体" w:eastAsia="宋体" w:cs="宋体"/>
                <w:bCs/>
                <w:color w:val="auto"/>
                <w:kern w:val="2"/>
                <w:sz w:val="20"/>
                <w:szCs w:val="22"/>
                <w:highlight w:val="none"/>
                <w:lang w:eastAsia="zh-CN" w:bidi="ar-SA"/>
              </w:rPr>
              <w:t>22</w:t>
            </w:r>
            <w:r>
              <w:rPr>
                <w:rFonts w:hint="eastAsia" w:ascii="宋体" w:hAnsi="宋体" w:eastAsia="宋体" w:cs="宋体"/>
                <w:bCs/>
                <w:color w:val="auto"/>
                <w:kern w:val="2"/>
                <w:sz w:val="20"/>
                <w:szCs w:val="22"/>
                <w:highlight w:val="none"/>
                <w:lang w:val="en-US" w:bidi="ar-SA"/>
              </w:rPr>
              <w:t>.</w:t>
            </w:r>
            <w:r>
              <w:rPr>
                <w:rFonts w:hint="default" w:ascii="宋体" w:hAnsi="宋体" w:eastAsia="宋体" w:cs="宋体"/>
                <w:bCs/>
                <w:color w:val="auto"/>
                <w:kern w:val="2"/>
                <w:sz w:val="20"/>
                <w:szCs w:val="22"/>
                <w:highlight w:val="none"/>
                <w:lang w:bidi="ar-SA"/>
              </w:rPr>
              <w:t>43</w:t>
            </w:r>
            <w:r>
              <w:rPr>
                <w:rFonts w:hint="eastAsia" w:ascii="宋体" w:hAnsi="宋体" w:eastAsia="宋体" w:cs="宋体"/>
                <w:bCs/>
                <w:color w:val="auto"/>
                <w:kern w:val="2"/>
                <w:sz w:val="20"/>
                <w:szCs w:val="22"/>
                <w:highlight w:val="none"/>
                <w:lang w:val="en-US" w:eastAsia="zh-CN" w:bidi="ar-SA"/>
              </w:rPr>
              <w:t>万元，无评估增减值。</w:t>
            </w:r>
            <w:bookmarkStart w:id="0" w:name="报告信息表_Row_【净资产名称】_2"/>
            <w:r>
              <w:rPr>
                <w:rFonts w:hint="eastAsia" w:ascii="宋体" w:hAnsi="宋体" w:eastAsia="宋体" w:cs="宋体"/>
                <w:bCs/>
                <w:color w:val="auto"/>
                <w:kern w:val="2"/>
                <w:sz w:val="20"/>
                <w:szCs w:val="22"/>
                <w:highlight w:val="none"/>
                <w:lang w:val="en-US" w:eastAsia="zh-CN" w:bidi="ar-SA"/>
              </w:rPr>
              <w:t>净资产</w:t>
            </w:r>
            <w:bookmarkEnd w:id="0"/>
            <w:r>
              <w:rPr>
                <w:rFonts w:hint="eastAsia" w:ascii="宋体" w:hAnsi="宋体" w:eastAsia="宋体" w:cs="宋体"/>
                <w:bCs/>
                <w:color w:val="auto"/>
                <w:kern w:val="2"/>
                <w:sz w:val="20"/>
                <w:szCs w:val="22"/>
                <w:highlight w:val="none"/>
                <w:lang w:val="en-US" w:eastAsia="zh-CN" w:bidi="ar-SA"/>
              </w:rPr>
              <w:t>账面值</w:t>
            </w:r>
            <w:r>
              <w:rPr>
                <w:rFonts w:hint="default" w:ascii="宋体" w:hAnsi="宋体" w:eastAsia="宋体" w:cs="宋体"/>
                <w:bCs/>
                <w:color w:val="auto"/>
                <w:kern w:val="2"/>
                <w:sz w:val="20"/>
                <w:szCs w:val="22"/>
                <w:highlight w:val="none"/>
                <w:lang w:eastAsia="zh-CN" w:bidi="ar-SA"/>
              </w:rPr>
              <w:t>95</w:t>
            </w:r>
            <w:r>
              <w:rPr>
                <w:rFonts w:hint="eastAsia" w:ascii="宋体" w:hAnsi="宋体" w:eastAsia="宋体" w:cs="宋体"/>
                <w:bCs/>
                <w:color w:val="auto"/>
                <w:kern w:val="2"/>
                <w:sz w:val="20"/>
                <w:szCs w:val="22"/>
                <w:highlight w:val="none"/>
                <w:lang w:val="en-US" w:bidi="ar-SA"/>
              </w:rPr>
              <w:t>.</w:t>
            </w:r>
            <w:r>
              <w:rPr>
                <w:rFonts w:hint="default" w:ascii="宋体" w:hAnsi="宋体" w:eastAsia="宋体" w:cs="宋体"/>
                <w:bCs/>
                <w:color w:val="auto"/>
                <w:kern w:val="2"/>
                <w:sz w:val="20"/>
                <w:szCs w:val="22"/>
                <w:highlight w:val="none"/>
                <w:lang w:bidi="ar-SA"/>
              </w:rPr>
              <w:t>02</w:t>
            </w:r>
            <w:r>
              <w:rPr>
                <w:rFonts w:hint="eastAsia" w:ascii="宋体" w:hAnsi="宋体" w:eastAsia="宋体" w:cs="宋体"/>
                <w:bCs/>
                <w:color w:val="auto"/>
                <w:kern w:val="2"/>
                <w:sz w:val="20"/>
                <w:szCs w:val="22"/>
                <w:highlight w:val="none"/>
                <w:lang w:val="en-US" w:eastAsia="zh-CN" w:bidi="ar-SA"/>
              </w:rPr>
              <w:t>万元，评估值</w:t>
            </w:r>
            <w:r>
              <w:rPr>
                <w:rFonts w:hint="default" w:ascii="宋体" w:hAnsi="宋体" w:eastAsia="宋体" w:cs="宋体"/>
                <w:bCs/>
                <w:color w:val="auto"/>
                <w:kern w:val="2"/>
                <w:sz w:val="20"/>
                <w:szCs w:val="22"/>
                <w:highlight w:val="none"/>
                <w:lang w:eastAsia="zh-CN" w:bidi="ar-SA"/>
              </w:rPr>
              <w:t>95</w:t>
            </w:r>
            <w:r>
              <w:rPr>
                <w:rFonts w:hint="eastAsia" w:ascii="宋体" w:hAnsi="宋体" w:eastAsia="宋体" w:cs="宋体"/>
                <w:bCs/>
                <w:color w:val="auto"/>
                <w:kern w:val="2"/>
                <w:sz w:val="20"/>
                <w:szCs w:val="22"/>
                <w:highlight w:val="none"/>
                <w:lang w:val="en-US" w:bidi="ar-SA"/>
              </w:rPr>
              <w:t>.</w:t>
            </w:r>
            <w:r>
              <w:rPr>
                <w:rFonts w:hint="default" w:ascii="宋体" w:hAnsi="宋体" w:eastAsia="宋体" w:cs="宋体"/>
                <w:bCs/>
                <w:color w:val="auto"/>
                <w:kern w:val="2"/>
                <w:sz w:val="20"/>
                <w:szCs w:val="22"/>
                <w:highlight w:val="none"/>
                <w:lang w:bidi="ar-SA"/>
              </w:rPr>
              <w:t>03</w:t>
            </w:r>
            <w:r>
              <w:rPr>
                <w:rFonts w:hint="eastAsia" w:ascii="宋体" w:hAnsi="宋体" w:eastAsia="宋体" w:cs="宋体"/>
                <w:bCs/>
                <w:color w:val="auto"/>
                <w:kern w:val="2"/>
                <w:sz w:val="20"/>
                <w:szCs w:val="22"/>
                <w:highlight w:val="none"/>
                <w:lang w:val="en-US" w:eastAsia="zh-CN" w:bidi="ar-SA"/>
              </w:rPr>
              <w:t>万元，</w:t>
            </w:r>
            <w:r>
              <w:rPr>
                <w:rFonts w:hint="eastAsia" w:ascii="宋体" w:hAnsi="宋体" w:eastAsia="宋体" w:cs="宋体"/>
                <w:bCs/>
                <w:color w:val="auto"/>
                <w:kern w:val="2"/>
                <w:sz w:val="20"/>
                <w:szCs w:val="22"/>
                <w:highlight w:val="none"/>
                <w:lang w:val="en-US" w:bidi="ar-SA"/>
              </w:rPr>
              <w:t>评估增值</w:t>
            </w:r>
            <w:r>
              <w:rPr>
                <w:rFonts w:hint="default" w:ascii="宋体" w:hAnsi="宋体" w:eastAsia="宋体" w:cs="宋体"/>
                <w:bCs/>
                <w:color w:val="auto"/>
                <w:kern w:val="2"/>
                <w:sz w:val="20"/>
                <w:szCs w:val="22"/>
                <w:highlight w:val="none"/>
                <w:lang w:bidi="ar-SA"/>
              </w:rPr>
              <w:t>0</w:t>
            </w:r>
            <w:r>
              <w:rPr>
                <w:rFonts w:hint="eastAsia" w:ascii="宋体" w:hAnsi="宋体" w:eastAsia="宋体" w:cs="宋体"/>
                <w:bCs/>
                <w:color w:val="auto"/>
                <w:kern w:val="2"/>
                <w:sz w:val="20"/>
                <w:szCs w:val="22"/>
                <w:highlight w:val="none"/>
                <w:lang w:val="en-US" w:bidi="ar-SA"/>
              </w:rPr>
              <w:t>.</w:t>
            </w:r>
            <w:r>
              <w:rPr>
                <w:rFonts w:hint="default" w:ascii="宋体" w:hAnsi="宋体" w:eastAsia="宋体" w:cs="宋体"/>
                <w:bCs/>
                <w:color w:val="auto"/>
                <w:kern w:val="2"/>
                <w:sz w:val="20"/>
                <w:szCs w:val="22"/>
                <w:highlight w:val="none"/>
                <w:lang w:bidi="ar-SA"/>
              </w:rPr>
              <w:t>01</w:t>
            </w:r>
            <w:r>
              <w:rPr>
                <w:rFonts w:hint="eastAsia" w:ascii="宋体" w:hAnsi="宋体" w:eastAsia="宋体" w:cs="宋体"/>
                <w:bCs/>
                <w:color w:val="auto"/>
                <w:kern w:val="2"/>
                <w:sz w:val="20"/>
                <w:szCs w:val="22"/>
                <w:highlight w:val="none"/>
                <w:lang w:val="en-US" w:bidi="ar-SA"/>
              </w:rPr>
              <w:t>万元</w:t>
            </w:r>
            <w:r>
              <w:rPr>
                <w:rFonts w:hint="eastAsia" w:ascii="宋体" w:hAnsi="宋体" w:eastAsia="宋体" w:cs="宋体"/>
                <w:bCs/>
                <w:color w:val="auto"/>
                <w:kern w:val="2"/>
                <w:sz w:val="20"/>
                <w:szCs w:val="22"/>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504" w:type="dxa"/>
            <w:vMerge w:val="restart"/>
            <w:noWrap w:val="0"/>
            <w:vAlign w:val="center"/>
          </w:tcPr>
          <w:p>
            <w:pPr>
              <w:jc w:val="center"/>
              <w:rPr>
                <w:rFonts w:ascii="宋体" w:hAnsi="宋体" w:cs="宋体"/>
                <w:bCs/>
                <w:sz w:val="20"/>
              </w:rPr>
            </w:pPr>
            <w:r>
              <w:rPr>
                <w:rFonts w:hint="eastAsia" w:ascii="宋体" w:hAnsi="宋体" w:cs="宋体"/>
                <w:bCs/>
                <w:sz w:val="20"/>
              </w:rPr>
              <w:t>6</w:t>
            </w:r>
          </w:p>
        </w:tc>
        <w:tc>
          <w:tcPr>
            <w:tcW w:w="1635" w:type="dxa"/>
            <w:vMerge w:val="restart"/>
            <w:noWrap w:val="0"/>
            <w:vAlign w:val="center"/>
          </w:tcPr>
          <w:p>
            <w:pPr>
              <w:jc w:val="center"/>
              <w:rPr>
                <w:rFonts w:ascii="宋体" w:hAnsi="宋体" w:cs="宋体"/>
                <w:bCs/>
                <w:color w:val="auto"/>
                <w:sz w:val="20"/>
              </w:rPr>
            </w:pPr>
            <w:r>
              <w:rPr>
                <w:rFonts w:hint="eastAsia" w:ascii="宋体" w:hAnsi="宋体" w:cs="宋体"/>
                <w:bCs/>
                <w:color w:val="auto"/>
                <w:sz w:val="20"/>
              </w:rPr>
              <w:t>评估结果汇总表</w:t>
            </w:r>
          </w:p>
          <w:p>
            <w:pPr>
              <w:jc w:val="center"/>
              <w:rPr>
                <w:rFonts w:ascii="宋体" w:hAnsi="宋体" w:cs="宋体"/>
                <w:bCs/>
                <w:color w:val="auto"/>
                <w:sz w:val="20"/>
              </w:rPr>
            </w:pPr>
            <w:r>
              <w:rPr>
                <w:rFonts w:hint="eastAsia" w:ascii="宋体" w:hAnsi="宋体" w:cs="宋体"/>
                <w:bCs/>
                <w:color w:val="auto"/>
                <w:sz w:val="20"/>
              </w:rPr>
              <w:t>（单位：万元）</w:t>
            </w:r>
          </w:p>
        </w:tc>
        <w:tc>
          <w:tcPr>
            <w:tcW w:w="1295" w:type="dxa"/>
            <w:noWrap w:val="0"/>
            <w:vAlign w:val="center"/>
          </w:tcPr>
          <w:p>
            <w:pPr>
              <w:jc w:val="center"/>
              <w:rPr>
                <w:rFonts w:ascii="宋体" w:hAnsi="宋体" w:cs="宋体"/>
                <w:bCs/>
                <w:color w:val="auto"/>
                <w:sz w:val="20"/>
              </w:rPr>
            </w:pPr>
            <w:r>
              <w:rPr>
                <w:rFonts w:hint="eastAsia" w:ascii="宋体" w:hAnsi="宋体" w:cs="宋体"/>
                <w:bCs/>
                <w:color w:val="auto"/>
                <w:sz w:val="20"/>
              </w:rPr>
              <w:t>项  目</w:t>
            </w:r>
          </w:p>
        </w:tc>
        <w:tc>
          <w:tcPr>
            <w:tcW w:w="1210" w:type="dxa"/>
            <w:noWrap w:val="0"/>
            <w:vAlign w:val="center"/>
          </w:tcPr>
          <w:p>
            <w:pPr>
              <w:jc w:val="center"/>
              <w:rPr>
                <w:rFonts w:ascii="宋体" w:hAnsi="宋体" w:cs="宋体"/>
                <w:bCs/>
                <w:color w:val="auto"/>
                <w:sz w:val="20"/>
              </w:rPr>
            </w:pPr>
            <w:r>
              <w:rPr>
                <w:rFonts w:hint="eastAsia" w:ascii="宋体" w:hAnsi="宋体" w:cs="宋体"/>
                <w:bCs/>
                <w:color w:val="auto"/>
                <w:sz w:val="20"/>
              </w:rPr>
              <w:t>账面价值</w:t>
            </w:r>
          </w:p>
        </w:tc>
        <w:tc>
          <w:tcPr>
            <w:tcW w:w="1260" w:type="dxa"/>
            <w:noWrap w:val="0"/>
            <w:vAlign w:val="center"/>
          </w:tcPr>
          <w:p>
            <w:pPr>
              <w:jc w:val="center"/>
              <w:rPr>
                <w:rFonts w:ascii="宋体" w:hAnsi="宋体" w:cs="宋体"/>
                <w:bCs/>
                <w:color w:val="auto"/>
                <w:sz w:val="20"/>
              </w:rPr>
            </w:pPr>
            <w:r>
              <w:rPr>
                <w:rFonts w:hint="eastAsia" w:ascii="宋体" w:hAnsi="宋体" w:cs="宋体"/>
                <w:bCs/>
                <w:color w:val="auto"/>
                <w:sz w:val="20"/>
              </w:rPr>
              <w:t>评估值</w:t>
            </w:r>
          </w:p>
        </w:tc>
        <w:tc>
          <w:tcPr>
            <w:tcW w:w="1230" w:type="dxa"/>
            <w:noWrap w:val="0"/>
            <w:vAlign w:val="center"/>
          </w:tcPr>
          <w:p>
            <w:pPr>
              <w:jc w:val="center"/>
              <w:rPr>
                <w:rFonts w:ascii="宋体" w:hAnsi="宋体" w:cs="宋体"/>
                <w:bCs/>
                <w:color w:val="auto"/>
                <w:sz w:val="20"/>
              </w:rPr>
            </w:pPr>
            <w:r>
              <w:rPr>
                <w:rFonts w:hint="eastAsia" w:ascii="宋体" w:hAnsi="宋体" w:cs="宋体"/>
                <w:bCs/>
                <w:color w:val="auto"/>
                <w:sz w:val="20"/>
              </w:rPr>
              <w:t>增值额</w:t>
            </w:r>
          </w:p>
        </w:tc>
        <w:tc>
          <w:tcPr>
            <w:tcW w:w="1386" w:type="dxa"/>
            <w:noWrap w:val="0"/>
            <w:vAlign w:val="center"/>
          </w:tcPr>
          <w:p>
            <w:pPr>
              <w:jc w:val="center"/>
              <w:rPr>
                <w:rFonts w:ascii="宋体" w:hAnsi="宋体" w:cs="宋体"/>
                <w:bCs/>
                <w:color w:val="auto"/>
                <w:sz w:val="20"/>
              </w:rPr>
            </w:pPr>
            <w:r>
              <w:rPr>
                <w:rFonts w:hint="eastAsia" w:ascii="宋体" w:hAnsi="宋体" w:cs="宋体"/>
                <w:bCs/>
                <w:color w:val="auto"/>
                <w:sz w:val="20"/>
              </w:rPr>
              <w:t>增值率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504" w:type="dxa"/>
            <w:vMerge w:val="continue"/>
            <w:noWrap w:val="0"/>
            <w:vAlign w:val="center"/>
          </w:tcPr>
          <w:p>
            <w:pPr>
              <w:jc w:val="center"/>
              <w:rPr>
                <w:rFonts w:ascii="宋体" w:hAnsi="宋体" w:cs="宋体"/>
                <w:bCs/>
                <w:sz w:val="20"/>
              </w:rPr>
            </w:pPr>
          </w:p>
        </w:tc>
        <w:tc>
          <w:tcPr>
            <w:tcW w:w="1635" w:type="dxa"/>
            <w:vMerge w:val="continue"/>
            <w:noWrap w:val="0"/>
            <w:vAlign w:val="center"/>
          </w:tcPr>
          <w:p>
            <w:pPr>
              <w:jc w:val="center"/>
              <w:rPr>
                <w:rFonts w:ascii="宋体" w:hAnsi="宋体" w:cs="宋体"/>
                <w:bCs/>
                <w:color w:val="auto"/>
                <w:sz w:val="20"/>
              </w:rPr>
            </w:pPr>
          </w:p>
        </w:tc>
        <w:tc>
          <w:tcPr>
            <w:tcW w:w="1295" w:type="dxa"/>
            <w:noWrap w:val="0"/>
            <w:vAlign w:val="center"/>
          </w:tcPr>
          <w:p>
            <w:pPr>
              <w:jc w:val="center"/>
              <w:rPr>
                <w:rFonts w:ascii="宋体" w:hAnsi="宋体" w:cs="宋体"/>
                <w:bCs/>
                <w:color w:val="auto"/>
                <w:sz w:val="20"/>
                <w:highlight w:val="none"/>
              </w:rPr>
            </w:pPr>
            <w:r>
              <w:rPr>
                <w:rFonts w:hint="eastAsia" w:ascii="宋体" w:hAnsi="宋体" w:cs="宋体"/>
                <w:bCs/>
                <w:color w:val="auto"/>
                <w:sz w:val="20"/>
                <w:highlight w:val="none"/>
              </w:rPr>
              <w:t>资产总额</w:t>
            </w:r>
          </w:p>
        </w:tc>
        <w:tc>
          <w:tcPr>
            <w:tcW w:w="1210" w:type="dxa"/>
            <w:noWrap w:val="0"/>
            <w:vAlign w:val="center"/>
          </w:tcPr>
          <w:p>
            <w:pPr>
              <w:widowControl/>
              <w:jc w:val="center"/>
              <w:rPr>
                <w:rFonts w:hint="default" w:ascii="宋体" w:hAnsi="宋体" w:eastAsia="宋体" w:cs="宋体"/>
                <w:bCs/>
                <w:color w:val="auto"/>
                <w:sz w:val="20"/>
                <w:highlight w:val="none"/>
                <w:lang w:eastAsia="zh-CN"/>
              </w:rPr>
            </w:pPr>
            <w:r>
              <w:rPr>
                <w:rFonts w:hint="default" w:ascii="宋体" w:hAnsi="宋体" w:cs="宋体"/>
                <w:bCs/>
                <w:color w:val="auto"/>
                <w:sz w:val="20"/>
                <w:highlight w:val="none"/>
                <w:lang w:eastAsia="zh-CN"/>
              </w:rPr>
              <w:t>117</w:t>
            </w:r>
            <w:r>
              <w:rPr>
                <w:rFonts w:hint="eastAsia" w:ascii="宋体" w:hAnsi="宋体" w:cs="宋体"/>
                <w:bCs/>
                <w:color w:val="auto"/>
                <w:sz w:val="20"/>
                <w:highlight w:val="none"/>
                <w:lang w:val="en-US"/>
              </w:rPr>
              <w:t>.</w:t>
            </w:r>
            <w:r>
              <w:rPr>
                <w:rFonts w:hint="default" w:ascii="宋体" w:hAnsi="宋体" w:cs="宋体"/>
                <w:bCs/>
                <w:color w:val="auto"/>
                <w:sz w:val="20"/>
                <w:highlight w:val="none"/>
              </w:rPr>
              <w:t>45</w:t>
            </w:r>
          </w:p>
        </w:tc>
        <w:tc>
          <w:tcPr>
            <w:tcW w:w="1260" w:type="dxa"/>
            <w:noWrap w:val="0"/>
            <w:vAlign w:val="center"/>
          </w:tcPr>
          <w:p>
            <w:pPr>
              <w:widowControl/>
              <w:jc w:val="center"/>
              <w:rPr>
                <w:rFonts w:hint="default" w:ascii="宋体" w:hAnsi="宋体" w:eastAsia="宋体" w:cs="宋体"/>
                <w:bCs/>
                <w:color w:val="auto"/>
                <w:sz w:val="20"/>
                <w:highlight w:val="none"/>
                <w:lang w:eastAsia="zh-CN"/>
              </w:rPr>
            </w:pPr>
            <w:r>
              <w:rPr>
                <w:rFonts w:hint="default" w:ascii="宋体" w:hAnsi="宋体" w:cs="宋体"/>
                <w:bCs/>
                <w:color w:val="auto"/>
                <w:sz w:val="20"/>
                <w:highlight w:val="none"/>
                <w:lang w:eastAsia="zh-CN"/>
              </w:rPr>
              <w:t>117</w:t>
            </w:r>
            <w:r>
              <w:rPr>
                <w:rFonts w:hint="eastAsia" w:ascii="宋体" w:hAnsi="宋体" w:cs="宋体"/>
                <w:bCs/>
                <w:color w:val="auto"/>
                <w:sz w:val="20"/>
                <w:highlight w:val="none"/>
                <w:lang w:val="en-US"/>
              </w:rPr>
              <w:t>.</w:t>
            </w:r>
            <w:r>
              <w:rPr>
                <w:rFonts w:hint="default" w:ascii="宋体" w:hAnsi="宋体" w:cs="宋体"/>
                <w:bCs/>
                <w:color w:val="auto"/>
                <w:sz w:val="20"/>
                <w:highlight w:val="none"/>
              </w:rPr>
              <w:t>46</w:t>
            </w:r>
          </w:p>
        </w:tc>
        <w:tc>
          <w:tcPr>
            <w:tcW w:w="1230" w:type="dxa"/>
            <w:noWrap w:val="0"/>
            <w:vAlign w:val="center"/>
          </w:tcPr>
          <w:p>
            <w:pPr>
              <w:widowControl/>
              <w:jc w:val="center"/>
              <w:rPr>
                <w:rFonts w:hint="default" w:ascii="宋体" w:hAnsi="宋体" w:eastAsia="宋体" w:cs="宋体"/>
                <w:bCs/>
                <w:color w:val="auto"/>
                <w:sz w:val="20"/>
                <w:highlight w:val="none"/>
                <w:lang w:eastAsia="zh-CN"/>
              </w:rPr>
            </w:pPr>
            <w:r>
              <w:rPr>
                <w:rFonts w:hint="default" w:ascii="宋体" w:hAnsi="宋体" w:cs="宋体"/>
                <w:bCs/>
                <w:color w:val="auto"/>
                <w:sz w:val="20"/>
                <w:highlight w:val="none"/>
                <w:lang w:eastAsia="zh-CN"/>
              </w:rPr>
              <w:t>0</w:t>
            </w:r>
            <w:r>
              <w:rPr>
                <w:rFonts w:hint="eastAsia" w:ascii="宋体" w:hAnsi="宋体" w:cs="宋体"/>
                <w:bCs/>
                <w:color w:val="auto"/>
                <w:sz w:val="20"/>
                <w:highlight w:val="none"/>
                <w:lang w:val="en-US"/>
              </w:rPr>
              <w:t>.</w:t>
            </w:r>
            <w:r>
              <w:rPr>
                <w:rFonts w:hint="default" w:ascii="宋体" w:hAnsi="宋体" w:cs="宋体"/>
                <w:bCs/>
                <w:color w:val="auto"/>
                <w:sz w:val="20"/>
                <w:highlight w:val="none"/>
              </w:rPr>
              <w:t>01</w:t>
            </w:r>
          </w:p>
        </w:tc>
        <w:tc>
          <w:tcPr>
            <w:tcW w:w="1386" w:type="dxa"/>
            <w:noWrap w:val="0"/>
            <w:vAlign w:val="center"/>
          </w:tcPr>
          <w:p>
            <w:pPr>
              <w:widowControl/>
              <w:jc w:val="center"/>
              <w:rPr>
                <w:rFonts w:hint="default" w:ascii="宋体" w:hAnsi="宋体" w:eastAsia="宋体" w:cs="宋体"/>
                <w:bCs/>
                <w:color w:val="auto"/>
                <w:sz w:val="20"/>
                <w:highlight w:val="none"/>
                <w:lang w:val="en-US" w:eastAsia="zh-CN"/>
              </w:rPr>
            </w:pPr>
            <w:r>
              <w:rPr>
                <w:rFonts w:hint="default" w:ascii="宋体" w:hAnsi="宋体" w:cs="宋体"/>
                <w:bCs/>
                <w:color w:val="auto"/>
                <w:sz w:val="20"/>
                <w:highlight w:val="none"/>
                <w:lang w:eastAsia="zh-CN"/>
              </w:rPr>
              <w:t>0</w:t>
            </w:r>
            <w:r>
              <w:rPr>
                <w:rFonts w:hint="eastAsia" w:ascii="宋体" w:hAnsi="宋体" w:cs="宋体"/>
                <w:bCs/>
                <w:color w:val="auto"/>
                <w:sz w:val="20"/>
                <w:highlight w:val="none"/>
                <w:lang w:val="en-US"/>
              </w:rPr>
              <w:t>.</w:t>
            </w:r>
            <w:r>
              <w:rPr>
                <w:rFonts w:hint="default" w:ascii="宋体" w:hAnsi="宋体" w:cs="宋体"/>
                <w:bCs/>
                <w:color w:val="auto"/>
                <w:sz w:val="20"/>
                <w:highlight w:val="none"/>
              </w:rPr>
              <w:t>01</w:t>
            </w:r>
            <w:r>
              <w:rPr>
                <w:rFonts w:hint="eastAsia" w:ascii="宋体" w:hAnsi="宋体" w:cs="宋体"/>
                <w:bCs/>
                <w:color w:val="auto"/>
                <w:sz w:val="2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04" w:type="dxa"/>
            <w:vMerge w:val="continue"/>
            <w:noWrap w:val="0"/>
            <w:vAlign w:val="center"/>
          </w:tcPr>
          <w:p>
            <w:pPr>
              <w:jc w:val="center"/>
              <w:rPr>
                <w:rFonts w:ascii="宋体" w:hAnsi="宋体" w:cs="宋体"/>
                <w:bCs/>
                <w:sz w:val="20"/>
              </w:rPr>
            </w:pPr>
          </w:p>
        </w:tc>
        <w:tc>
          <w:tcPr>
            <w:tcW w:w="1635" w:type="dxa"/>
            <w:vMerge w:val="continue"/>
            <w:noWrap w:val="0"/>
            <w:vAlign w:val="center"/>
          </w:tcPr>
          <w:p>
            <w:pPr>
              <w:jc w:val="center"/>
              <w:rPr>
                <w:rFonts w:ascii="宋体" w:hAnsi="宋体" w:cs="宋体"/>
                <w:bCs/>
                <w:color w:val="auto"/>
                <w:sz w:val="20"/>
              </w:rPr>
            </w:pPr>
          </w:p>
        </w:tc>
        <w:tc>
          <w:tcPr>
            <w:tcW w:w="1295" w:type="dxa"/>
            <w:noWrap w:val="0"/>
            <w:vAlign w:val="center"/>
          </w:tcPr>
          <w:p>
            <w:pPr>
              <w:jc w:val="center"/>
              <w:rPr>
                <w:rFonts w:ascii="宋体" w:hAnsi="宋体" w:cs="宋体"/>
                <w:bCs/>
                <w:color w:val="auto"/>
                <w:sz w:val="20"/>
                <w:highlight w:val="none"/>
              </w:rPr>
            </w:pPr>
            <w:r>
              <w:rPr>
                <w:rFonts w:hint="eastAsia" w:ascii="宋体" w:hAnsi="宋体" w:cs="宋体"/>
                <w:bCs/>
                <w:color w:val="auto"/>
                <w:sz w:val="20"/>
                <w:highlight w:val="none"/>
              </w:rPr>
              <w:t>负债总额</w:t>
            </w:r>
          </w:p>
        </w:tc>
        <w:tc>
          <w:tcPr>
            <w:tcW w:w="1210" w:type="dxa"/>
            <w:noWrap w:val="0"/>
            <w:vAlign w:val="center"/>
          </w:tcPr>
          <w:p>
            <w:pPr>
              <w:widowControl/>
              <w:jc w:val="center"/>
              <w:rPr>
                <w:rFonts w:hint="default" w:ascii="宋体" w:hAnsi="宋体" w:eastAsia="宋体" w:cs="宋体"/>
                <w:bCs/>
                <w:color w:val="auto"/>
                <w:sz w:val="20"/>
                <w:highlight w:val="none"/>
                <w:lang w:eastAsia="zh-CN"/>
              </w:rPr>
            </w:pPr>
            <w:r>
              <w:rPr>
                <w:rFonts w:hint="default" w:ascii="宋体" w:hAnsi="宋体" w:cs="宋体"/>
                <w:bCs/>
                <w:color w:val="auto"/>
                <w:sz w:val="20"/>
                <w:highlight w:val="none"/>
                <w:lang w:eastAsia="zh-CN"/>
              </w:rPr>
              <w:t>22</w:t>
            </w:r>
            <w:r>
              <w:rPr>
                <w:rFonts w:hint="eastAsia" w:ascii="宋体" w:hAnsi="宋体" w:cs="宋体"/>
                <w:bCs/>
                <w:color w:val="auto"/>
                <w:sz w:val="20"/>
                <w:highlight w:val="none"/>
                <w:lang w:val="en-US"/>
              </w:rPr>
              <w:t>.</w:t>
            </w:r>
            <w:r>
              <w:rPr>
                <w:rFonts w:hint="default" w:ascii="宋体" w:hAnsi="宋体" w:cs="宋体"/>
                <w:bCs/>
                <w:color w:val="auto"/>
                <w:sz w:val="20"/>
                <w:highlight w:val="none"/>
              </w:rPr>
              <w:t>43</w:t>
            </w:r>
          </w:p>
        </w:tc>
        <w:tc>
          <w:tcPr>
            <w:tcW w:w="1260" w:type="dxa"/>
            <w:noWrap w:val="0"/>
            <w:vAlign w:val="center"/>
          </w:tcPr>
          <w:p>
            <w:pPr>
              <w:widowControl/>
              <w:jc w:val="center"/>
              <w:rPr>
                <w:rFonts w:hint="default" w:ascii="宋体" w:hAnsi="宋体" w:cs="宋体"/>
                <w:bCs/>
                <w:color w:val="auto"/>
                <w:sz w:val="20"/>
                <w:highlight w:val="none"/>
              </w:rPr>
            </w:pPr>
            <w:r>
              <w:rPr>
                <w:rFonts w:hint="default" w:ascii="宋体" w:hAnsi="宋体" w:cs="宋体"/>
                <w:bCs/>
                <w:color w:val="auto"/>
                <w:sz w:val="20"/>
                <w:highlight w:val="none"/>
                <w:lang w:eastAsia="zh-CN"/>
              </w:rPr>
              <w:t>22</w:t>
            </w:r>
            <w:r>
              <w:rPr>
                <w:rFonts w:hint="eastAsia" w:ascii="宋体" w:hAnsi="宋体" w:cs="宋体"/>
                <w:bCs/>
                <w:color w:val="auto"/>
                <w:sz w:val="20"/>
                <w:highlight w:val="none"/>
                <w:lang w:val="en-US"/>
              </w:rPr>
              <w:t>.</w:t>
            </w:r>
            <w:r>
              <w:rPr>
                <w:rFonts w:hint="default" w:ascii="宋体" w:hAnsi="宋体" w:cs="宋体"/>
                <w:bCs/>
                <w:color w:val="auto"/>
                <w:sz w:val="20"/>
                <w:highlight w:val="none"/>
              </w:rPr>
              <w:t>43</w:t>
            </w:r>
          </w:p>
        </w:tc>
        <w:tc>
          <w:tcPr>
            <w:tcW w:w="1230" w:type="dxa"/>
            <w:noWrap w:val="0"/>
            <w:vAlign w:val="center"/>
          </w:tcPr>
          <w:p>
            <w:pPr>
              <w:jc w:val="center"/>
              <w:rPr>
                <w:rFonts w:hint="eastAsia" w:ascii="宋体" w:hAnsi="宋体" w:eastAsia="宋体" w:cs="宋体"/>
                <w:bCs/>
                <w:color w:val="auto"/>
                <w:sz w:val="20"/>
                <w:highlight w:val="none"/>
                <w:lang w:eastAsia="zh-CN"/>
              </w:rPr>
            </w:pPr>
            <w:r>
              <w:rPr>
                <w:rFonts w:hint="eastAsia" w:ascii="宋体" w:hAnsi="宋体" w:cs="宋体"/>
                <w:bCs/>
                <w:color w:val="auto"/>
                <w:sz w:val="20"/>
                <w:highlight w:val="none"/>
                <w:lang w:val="en-US" w:eastAsia="zh-CN"/>
              </w:rPr>
              <w:t>0</w:t>
            </w:r>
            <w:r>
              <w:rPr>
                <w:rFonts w:hint="default" w:ascii="宋体" w:hAnsi="宋体" w:cs="宋体"/>
                <w:bCs/>
                <w:color w:val="auto"/>
                <w:sz w:val="20"/>
                <w:highlight w:val="none"/>
                <w:lang w:eastAsia="zh-CN"/>
              </w:rPr>
              <w:t>.00</w:t>
            </w:r>
          </w:p>
        </w:tc>
        <w:tc>
          <w:tcPr>
            <w:tcW w:w="1386" w:type="dxa"/>
            <w:noWrap w:val="0"/>
            <w:vAlign w:val="center"/>
          </w:tcPr>
          <w:p>
            <w:pPr>
              <w:jc w:val="center"/>
              <w:rPr>
                <w:rFonts w:hint="default" w:ascii="宋体" w:hAnsi="宋体" w:eastAsia="宋体" w:cs="宋体"/>
                <w:bCs/>
                <w:color w:val="auto"/>
                <w:sz w:val="20"/>
                <w:highlight w:val="none"/>
                <w:lang w:val="en-US" w:eastAsia="zh-CN"/>
              </w:rPr>
            </w:pPr>
            <w:r>
              <w:rPr>
                <w:rFonts w:hint="default" w:ascii="宋体" w:hAnsi="宋体" w:cs="宋体"/>
                <w:bCs/>
                <w:color w:val="auto"/>
                <w:sz w:val="20"/>
                <w:highlight w:val="none"/>
                <w:lang w:eastAsia="zh-CN"/>
              </w:rPr>
              <w:t>0</w:t>
            </w:r>
            <w:r>
              <w:rPr>
                <w:rFonts w:hint="eastAsia" w:ascii="宋体" w:hAnsi="宋体" w:cs="宋体"/>
                <w:bCs/>
                <w:color w:val="auto"/>
                <w:sz w:val="20"/>
                <w:highlight w:val="none"/>
                <w:lang w:val="en-US"/>
              </w:rPr>
              <w:t>.</w:t>
            </w:r>
            <w:r>
              <w:rPr>
                <w:rFonts w:hint="default" w:ascii="宋体" w:hAnsi="宋体" w:cs="宋体"/>
                <w:bCs/>
                <w:color w:val="auto"/>
                <w:sz w:val="20"/>
                <w:highlight w:val="none"/>
              </w:rPr>
              <w:t>00</w:t>
            </w:r>
            <w:r>
              <w:rPr>
                <w:rFonts w:hint="eastAsia" w:ascii="宋体" w:hAnsi="宋体" w:cs="宋体"/>
                <w:bCs/>
                <w:color w:val="auto"/>
                <w:sz w:val="2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504" w:type="dxa"/>
            <w:vMerge w:val="continue"/>
            <w:noWrap w:val="0"/>
            <w:vAlign w:val="center"/>
          </w:tcPr>
          <w:p>
            <w:pPr>
              <w:jc w:val="center"/>
              <w:rPr>
                <w:rFonts w:ascii="宋体" w:hAnsi="宋体" w:cs="宋体"/>
                <w:bCs/>
                <w:sz w:val="20"/>
              </w:rPr>
            </w:pPr>
          </w:p>
        </w:tc>
        <w:tc>
          <w:tcPr>
            <w:tcW w:w="1635" w:type="dxa"/>
            <w:vMerge w:val="continue"/>
            <w:noWrap w:val="0"/>
            <w:vAlign w:val="center"/>
          </w:tcPr>
          <w:p>
            <w:pPr>
              <w:jc w:val="center"/>
              <w:rPr>
                <w:rFonts w:ascii="宋体" w:hAnsi="宋体" w:cs="宋体"/>
                <w:bCs/>
                <w:color w:val="auto"/>
                <w:sz w:val="20"/>
              </w:rPr>
            </w:pPr>
          </w:p>
        </w:tc>
        <w:tc>
          <w:tcPr>
            <w:tcW w:w="1295" w:type="dxa"/>
            <w:noWrap w:val="0"/>
            <w:vAlign w:val="center"/>
          </w:tcPr>
          <w:p>
            <w:pPr>
              <w:jc w:val="center"/>
              <w:rPr>
                <w:rFonts w:ascii="宋体" w:hAnsi="宋体" w:cs="宋体"/>
                <w:bCs/>
                <w:color w:val="auto"/>
                <w:sz w:val="20"/>
                <w:highlight w:val="none"/>
              </w:rPr>
            </w:pPr>
            <w:r>
              <w:rPr>
                <w:rFonts w:hint="eastAsia" w:ascii="宋体" w:hAnsi="宋体" w:cs="宋体"/>
                <w:bCs/>
                <w:color w:val="auto"/>
                <w:sz w:val="20"/>
                <w:highlight w:val="none"/>
              </w:rPr>
              <w:t>净 资 产</w:t>
            </w:r>
          </w:p>
        </w:tc>
        <w:tc>
          <w:tcPr>
            <w:tcW w:w="1210" w:type="dxa"/>
            <w:noWrap w:val="0"/>
            <w:vAlign w:val="center"/>
          </w:tcPr>
          <w:p>
            <w:pPr>
              <w:widowControl/>
              <w:jc w:val="center"/>
              <w:rPr>
                <w:rFonts w:hint="default" w:ascii="宋体" w:hAnsi="宋体" w:eastAsia="宋体" w:cs="宋体"/>
                <w:bCs/>
                <w:color w:val="auto"/>
                <w:sz w:val="20"/>
                <w:highlight w:val="none"/>
                <w:lang w:eastAsia="zh-CN"/>
              </w:rPr>
            </w:pPr>
            <w:r>
              <w:rPr>
                <w:rFonts w:hint="default" w:ascii="宋体" w:hAnsi="宋体" w:cs="宋体"/>
                <w:bCs/>
                <w:color w:val="auto"/>
                <w:sz w:val="20"/>
                <w:highlight w:val="none"/>
                <w:lang w:eastAsia="zh-CN"/>
              </w:rPr>
              <w:t>95</w:t>
            </w:r>
            <w:r>
              <w:rPr>
                <w:rFonts w:hint="eastAsia" w:ascii="宋体" w:hAnsi="宋体" w:cs="宋体"/>
                <w:bCs/>
                <w:color w:val="auto"/>
                <w:sz w:val="20"/>
                <w:highlight w:val="none"/>
                <w:lang w:val="en-US"/>
              </w:rPr>
              <w:t>.</w:t>
            </w:r>
            <w:r>
              <w:rPr>
                <w:rFonts w:hint="default" w:ascii="宋体" w:hAnsi="宋体" w:cs="宋体"/>
                <w:bCs/>
                <w:color w:val="auto"/>
                <w:sz w:val="20"/>
                <w:highlight w:val="none"/>
              </w:rPr>
              <w:t>02</w:t>
            </w:r>
          </w:p>
        </w:tc>
        <w:tc>
          <w:tcPr>
            <w:tcW w:w="1260" w:type="dxa"/>
            <w:noWrap w:val="0"/>
            <w:vAlign w:val="center"/>
          </w:tcPr>
          <w:p>
            <w:pPr>
              <w:widowControl/>
              <w:jc w:val="center"/>
              <w:rPr>
                <w:rFonts w:hint="default" w:ascii="宋体" w:hAnsi="宋体" w:eastAsia="宋体" w:cs="宋体"/>
                <w:bCs/>
                <w:color w:val="auto"/>
                <w:sz w:val="20"/>
                <w:highlight w:val="none"/>
                <w:lang w:val="en-US" w:eastAsia="zh-CN"/>
              </w:rPr>
            </w:pPr>
            <w:r>
              <w:rPr>
                <w:rFonts w:hint="default" w:ascii="宋体" w:hAnsi="宋体" w:cs="宋体"/>
                <w:bCs/>
                <w:color w:val="auto"/>
                <w:sz w:val="20"/>
                <w:highlight w:val="none"/>
                <w:lang w:eastAsia="zh-CN"/>
              </w:rPr>
              <w:t>95</w:t>
            </w:r>
            <w:r>
              <w:rPr>
                <w:rFonts w:hint="eastAsia" w:ascii="宋体" w:hAnsi="宋体" w:cs="宋体"/>
                <w:bCs/>
                <w:color w:val="auto"/>
                <w:sz w:val="20"/>
                <w:highlight w:val="none"/>
                <w:lang w:val="en-US"/>
              </w:rPr>
              <w:t>.</w:t>
            </w:r>
            <w:r>
              <w:rPr>
                <w:rFonts w:hint="default" w:ascii="宋体" w:hAnsi="宋体" w:cs="宋体"/>
                <w:bCs/>
                <w:color w:val="auto"/>
                <w:sz w:val="20"/>
                <w:highlight w:val="none"/>
              </w:rPr>
              <w:t>0</w:t>
            </w:r>
            <w:r>
              <w:rPr>
                <w:rFonts w:hint="eastAsia" w:ascii="宋体" w:hAnsi="宋体" w:cs="宋体"/>
                <w:bCs/>
                <w:color w:val="auto"/>
                <w:sz w:val="20"/>
                <w:highlight w:val="none"/>
                <w:lang w:val="en-US" w:eastAsia="zh-CN"/>
              </w:rPr>
              <w:t>3</w:t>
            </w:r>
          </w:p>
        </w:tc>
        <w:tc>
          <w:tcPr>
            <w:tcW w:w="1230" w:type="dxa"/>
            <w:noWrap w:val="0"/>
            <w:vAlign w:val="center"/>
          </w:tcPr>
          <w:p>
            <w:pPr>
              <w:widowControl/>
              <w:jc w:val="center"/>
              <w:rPr>
                <w:rFonts w:hint="default" w:ascii="宋体" w:hAnsi="宋体" w:eastAsia="宋体" w:cs="宋体"/>
                <w:bCs/>
                <w:color w:val="auto"/>
                <w:sz w:val="20"/>
                <w:highlight w:val="none"/>
                <w:lang w:eastAsia="zh-CN"/>
              </w:rPr>
            </w:pPr>
            <w:r>
              <w:rPr>
                <w:rFonts w:hint="default" w:ascii="宋体" w:hAnsi="宋体" w:cs="宋体"/>
                <w:bCs/>
                <w:color w:val="auto"/>
                <w:sz w:val="20"/>
                <w:highlight w:val="none"/>
                <w:lang w:eastAsia="zh-CN"/>
              </w:rPr>
              <w:t>0</w:t>
            </w:r>
            <w:r>
              <w:rPr>
                <w:rFonts w:hint="eastAsia" w:ascii="宋体" w:hAnsi="宋体" w:cs="宋体"/>
                <w:bCs/>
                <w:color w:val="auto"/>
                <w:sz w:val="20"/>
                <w:highlight w:val="none"/>
                <w:lang w:val="en-US"/>
              </w:rPr>
              <w:t>.</w:t>
            </w:r>
            <w:r>
              <w:rPr>
                <w:rFonts w:hint="default" w:ascii="宋体" w:hAnsi="宋体" w:cs="宋体"/>
                <w:bCs/>
                <w:color w:val="auto"/>
                <w:sz w:val="20"/>
                <w:highlight w:val="none"/>
              </w:rPr>
              <w:t>01</w:t>
            </w:r>
          </w:p>
        </w:tc>
        <w:tc>
          <w:tcPr>
            <w:tcW w:w="1386" w:type="dxa"/>
            <w:noWrap w:val="0"/>
            <w:vAlign w:val="center"/>
          </w:tcPr>
          <w:p>
            <w:pPr>
              <w:widowControl/>
              <w:jc w:val="center"/>
              <w:rPr>
                <w:rFonts w:ascii="宋体" w:hAnsi="宋体" w:cs="宋体"/>
                <w:bCs/>
                <w:color w:val="auto"/>
                <w:sz w:val="20"/>
                <w:highlight w:val="none"/>
              </w:rPr>
            </w:pPr>
            <w:r>
              <w:rPr>
                <w:rFonts w:hint="default" w:ascii="宋体" w:hAnsi="宋体" w:cs="宋体"/>
                <w:bCs/>
                <w:color w:val="auto"/>
                <w:sz w:val="20"/>
                <w:highlight w:val="none"/>
                <w:lang w:eastAsia="zh-CN"/>
              </w:rPr>
              <w:t>0</w:t>
            </w:r>
            <w:r>
              <w:rPr>
                <w:rFonts w:hint="eastAsia" w:ascii="宋体" w:hAnsi="宋体" w:cs="宋体"/>
                <w:bCs/>
                <w:color w:val="auto"/>
                <w:sz w:val="20"/>
                <w:highlight w:val="none"/>
                <w:lang w:val="en-US"/>
              </w:rPr>
              <w:t>.</w:t>
            </w:r>
            <w:r>
              <w:rPr>
                <w:rFonts w:hint="default" w:ascii="宋体" w:hAnsi="宋体" w:cs="宋体"/>
                <w:bCs/>
                <w:color w:val="auto"/>
                <w:sz w:val="20"/>
                <w:highlight w:val="none"/>
              </w:rPr>
              <w:t>01</w:t>
            </w:r>
            <w:r>
              <w:rPr>
                <w:rFonts w:hint="eastAsia" w:ascii="宋体" w:hAnsi="宋体" w:cs="宋体"/>
                <w:bCs/>
                <w:color w:val="auto"/>
                <w:sz w:val="2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504" w:type="dxa"/>
            <w:noWrap w:val="0"/>
            <w:vAlign w:val="center"/>
          </w:tcPr>
          <w:p>
            <w:pPr>
              <w:jc w:val="center"/>
              <w:rPr>
                <w:rFonts w:ascii="宋体" w:hAnsi="宋体" w:cs="宋体"/>
                <w:bCs/>
                <w:sz w:val="20"/>
              </w:rPr>
            </w:pPr>
            <w:r>
              <w:rPr>
                <w:rFonts w:hint="eastAsia" w:ascii="宋体" w:hAnsi="宋体" w:cs="宋体"/>
                <w:bCs/>
                <w:sz w:val="20"/>
              </w:rPr>
              <w:t>7</w:t>
            </w:r>
          </w:p>
        </w:tc>
        <w:tc>
          <w:tcPr>
            <w:tcW w:w="1635" w:type="dxa"/>
            <w:noWrap w:val="0"/>
            <w:vAlign w:val="center"/>
          </w:tcPr>
          <w:p>
            <w:pPr>
              <w:jc w:val="center"/>
              <w:rPr>
                <w:rFonts w:ascii="宋体" w:hAnsi="宋体" w:cs="宋体"/>
                <w:bCs/>
                <w:sz w:val="20"/>
              </w:rPr>
            </w:pPr>
            <w:r>
              <w:rPr>
                <w:rFonts w:hint="eastAsia" w:ascii="宋体" w:hAnsi="宋体" w:cs="宋体"/>
                <w:bCs/>
                <w:sz w:val="20"/>
              </w:rPr>
              <w:t>评估资料查阅</w:t>
            </w:r>
          </w:p>
          <w:p>
            <w:pPr>
              <w:jc w:val="center"/>
              <w:rPr>
                <w:rFonts w:ascii="宋体" w:hAnsi="宋体" w:cs="宋体"/>
                <w:bCs/>
                <w:sz w:val="20"/>
              </w:rPr>
            </w:pPr>
            <w:r>
              <w:rPr>
                <w:rFonts w:hint="eastAsia" w:ascii="宋体" w:hAnsi="宋体" w:cs="宋体"/>
                <w:bCs/>
                <w:sz w:val="20"/>
              </w:rPr>
              <w:t>方式</w:t>
            </w:r>
          </w:p>
        </w:tc>
        <w:tc>
          <w:tcPr>
            <w:tcW w:w="6381" w:type="dxa"/>
            <w:gridSpan w:val="5"/>
            <w:noWrap w:val="0"/>
            <w:vAlign w:val="center"/>
          </w:tcPr>
          <w:p>
            <w:pPr>
              <w:jc w:val="left"/>
              <w:rPr>
                <w:rFonts w:ascii="宋体" w:hAnsi="宋体" w:cs="宋体"/>
                <w:bCs/>
                <w:sz w:val="20"/>
              </w:rPr>
            </w:pPr>
            <w:r>
              <w:rPr>
                <w:rFonts w:hint="eastAsia" w:ascii="宋体" w:hAnsi="宋体" w:cs="宋体"/>
                <w:bCs/>
                <w:sz w:val="20"/>
              </w:rPr>
              <w:t>评估批复、比选评估机构方案、评估报告初稿及审核意见等纸质及电子资料在</w:t>
            </w:r>
            <w:r>
              <w:rPr>
                <w:rFonts w:hint="eastAsia" w:ascii="宋体" w:hAnsi="宋体" w:cs="宋体"/>
                <w:bCs/>
                <w:sz w:val="20"/>
                <w:lang w:val="en-US" w:eastAsia="zh-CN"/>
              </w:rPr>
              <w:t>总局资产财务部</w:t>
            </w:r>
            <w:r>
              <w:rPr>
                <w:rFonts w:hint="eastAsia" w:ascii="宋体" w:hAnsi="宋体" w:cs="宋体"/>
                <w:bCs/>
                <w:sz w:val="20"/>
              </w:rPr>
              <w:t>。</w:t>
            </w:r>
          </w:p>
        </w:tc>
      </w:tr>
    </w:tbl>
    <w:p>
      <w:bookmarkStart w:id="1" w:name="_GoBack"/>
      <w:bookmarkEnd w:id="1"/>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D964A7"/>
    <w:rsid w:val="22D96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2"/>
    <w:basedOn w:val="1"/>
    <w:next w:val="1"/>
    <w:unhideWhenUsed/>
    <w:uiPriority w:val="39"/>
    <w:pPr>
      <w:ind w:left="238"/>
    </w:pPr>
    <w:rPr>
      <w:rFonts w:ascii="Calibri" w:hAnsi="Calibri" w:cs="Calibri"/>
      <w:smallCaps/>
    </w:rPr>
  </w:style>
  <w:style w:type="paragraph" w:customStyle="1" w:styleId="5">
    <w:name w:val="正文内容"/>
    <w:basedOn w:val="1"/>
    <w:qFormat/>
    <w:uiPriority w:val="0"/>
    <w:pPr>
      <w:adjustRightInd w:val="0"/>
      <w:snapToGrid w:val="0"/>
      <w:spacing w:line="360" w:lineRule="auto"/>
      <w:ind w:firstLine="200" w:firstLineChars="200"/>
    </w:pPr>
    <w:rPr>
      <w:rFonts w:eastAsia="仿宋_GB2312"/>
      <w:color w:val="000000"/>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2021-05-20T13:07:00Z</dcterms:created>
  <dc:creator>宣传处</dc:creator>
  <cp:lastModifiedBy>宣传处</cp:lastModifiedBy>
  <dcterms:modified xsi:type="dcterms:W3CDTF">2021-05-20T13:07:31Z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1FD2964B906446318FD1C3AA632E20D3</vt:lpwstr>
  </property>
</Properties>
</file>