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28"/>
          <w:szCs w:val="28"/>
        </w:rPr>
      </w:pPr>
      <w:r>
        <w:rPr>
          <w:rFonts w:hint="eastAsia" w:ascii="黑体" w:hAnsi="黑体" w:eastAsia="黑体" w:cs="黑体"/>
          <w:bCs/>
          <w:sz w:val="28"/>
          <w:szCs w:val="28"/>
        </w:rPr>
        <w:t>附件：</w:t>
      </w:r>
    </w:p>
    <w:p>
      <w:pPr>
        <w:jc w:val="center"/>
        <w:rPr>
          <w:rFonts w:ascii="宋体" w:hAnsi="宋体" w:cs="宋体"/>
          <w:bCs/>
          <w:sz w:val="20"/>
        </w:rPr>
      </w:pPr>
      <w:r>
        <w:rPr>
          <w:rFonts w:hint="eastAsia" w:ascii="黑体" w:hAnsi="黑体" w:eastAsia="黑体" w:cs="黑体"/>
          <w:bCs/>
          <w:sz w:val="30"/>
          <w:szCs w:val="30"/>
        </w:rPr>
        <w:t>中国煤炭地质总局资产评估项目公示表</w:t>
      </w:r>
    </w:p>
    <w:p>
      <w:pPr>
        <w:rPr>
          <w:rFonts w:hint="eastAsia" w:ascii="宋体" w:hAnsi="宋体" w:eastAsia="宋体" w:cs="宋体"/>
          <w:bCs/>
          <w:color w:val="auto"/>
          <w:sz w:val="20"/>
          <w:lang w:val="en-US" w:eastAsia="zh-CN"/>
        </w:rPr>
      </w:pPr>
      <w:r>
        <w:rPr>
          <w:rFonts w:hint="eastAsia" w:ascii="宋体" w:hAnsi="宋体" w:cs="宋体"/>
          <w:bCs/>
          <w:color w:val="auto"/>
          <w:sz w:val="20"/>
        </w:rPr>
        <w:t>评估项目：</w:t>
      </w:r>
      <w:r>
        <w:rPr>
          <w:rFonts w:hint="eastAsia"/>
          <w:color w:val="auto"/>
        </w:rPr>
        <w:t>西安协和置业股份有限公司所属</w:t>
      </w:r>
      <w:r>
        <w:rPr>
          <w:color w:val="auto"/>
        </w:rPr>
        <w:t>位</w:t>
      </w:r>
      <w:r>
        <w:rPr>
          <w:rFonts w:hint="eastAsia"/>
          <w:color w:val="auto"/>
        </w:rPr>
        <w:t>于陕西省西安市曲江新区大唐不夜城东路曲江公馆二期第4幢4单元1层40103号商业房地产市场价值评估</w:t>
      </w:r>
      <w:r>
        <w:rPr>
          <w:rFonts w:hint="eastAsia"/>
          <w:color w:val="auto"/>
          <w:lang w:val="en-US" w:eastAsia="zh-CN"/>
        </w:rPr>
        <w:t>项目</w:t>
      </w:r>
    </w:p>
    <w:p>
      <w:pPr>
        <w:rPr>
          <w:rFonts w:ascii="宋体" w:hAnsi="宋体" w:cs="宋体"/>
          <w:bCs/>
          <w:sz w:val="20"/>
        </w:rPr>
      </w:pPr>
      <w:r>
        <w:rPr>
          <w:rFonts w:hint="eastAsia" w:ascii="宋体" w:hAnsi="宋体" w:cs="宋体"/>
          <w:bCs/>
          <w:sz w:val="20"/>
        </w:rPr>
        <w:t>公示期限：202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6</w:t>
      </w:r>
      <w:r>
        <w:rPr>
          <w:rFonts w:hint="eastAsia" w:ascii="宋体" w:hAnsi="宋体" w:cs="宋体"/>
          <w:bCs/>
          <w:sz w:val="20"/>
        </w:rPr>
        <w:t>月</w:t>
      </w:r>
      <w:r>
        <w:rPr>
          <w:rFonts w:hint="eastAsia" w:ascii="宋体" w:hAnsi="宋体" w:cs="宋体"/>
          <w:bCs/>
          <w:sz w:val="20"/>
          <w:lang w:val="en-US" w:eastAsia="zh-CN"/>
        </w:rPr>
        <w:t>21</w:t>
      </w:r>
      <w:r>
        <w:rPr>
          <w:rFonts w:hint="eastAsia" w:ascii="宋体" w:hAnsi="宋体" w:cs="宋体"/>
          <w:bCs/>
          <w:sz w:val="20"/>
        </w:rPr>
        <w:t>日至202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6</w:t>
      </w:r>
      <w:r>
        <w:rPr>
          <w:rFonts w:hint="eastAsia" w:ascii="宋体" w:hAnsi="宋体" w:cs="宋体"/>
          <w:bCs/>
          <w:sz w:val="20"/>
        </w:rPr>
        <w:t>月</w:t>
      </w:r>
      <w:r>
        <w:rPr>
          <w:rFonts w:hint="eastAsia" w:ascii="宋体" w:hAnsi="宋体" w:cs="宋体"/>
          <w:bCs/>
          <w:sz w:val="20"/>
          <w:lang w:val="en-US" w:eastAsia="zh-CN"/>
        </w:rPr>
        <w:t>25</w:t>
      </w:r>
      <w:r>
        <w:rPr>
          <w:rFonts w:hint="eastAsia" w:ascii="宋体" w:hAnsi="宋体" w:cs="宋体"/>
          <w:bCs/>
          <w:sz w:val="20"/>
        </w:rPr>
        <w:t>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35"/>
        <w:gridCol w:w="1063"/>
        <w:gridCol w:w="1063"/>
        <w:gridCol w:w="1063"/>
        <w:gridCol w:w="1063"/>
        <w:gridCol w:w="1063"/>
        <w:gridCol w:w="1"/>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序号</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公示项目</w:t>
            </w:r>
          </w:p>
        </w:tc>
        <w:tc>
          <w:tcPr>
            <w:tcW w:w="6381" w:type="dxa"/>
            <w:gridSpan w:val="7"/>
            <w:noWrap w:val="0"/>
            <w:vAlign w:val="center"/>
          </w:tcPr>
          <w:p>
            <w:pPr>
              <w:jc w:val="center"/>
              <w:rPr>
                <w:rFonts w:ascii="宋体" w:hAnsi="宋体" w:cs="宋体"/>
                <w:bCs/>
                <w:color w:val="auto"/>
                <w:sz w:val="20"/>
              </w:rPr>
            </w:pPr>
            <w:r>
              <w:rPr>
                <w:rFonts w:hint="eastAsia" w:ascii="宋体" w:hAnsi="宋体" w:cs="宋体"/>
                <w:bCs/>
                <w:color w:val="auto"/>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1</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经济行为批准</w:t>
            </w:r>
          </w:p>
          <w:p>
            <w:pPr>
              <w:jc w:val="center"/>
              <w:rPr>
                <w:rFonts w:ascii="宋体" w:hAnsi="宋体" w:cs="宋体"/>
                <w:bCs/>
                <w:color w:val="auto"/>
                <w:sz w:val="20"/>
              </w:rPr>
            </w:pPr>
            <w:r>
              <w:rPr>
                <w:rFonts w:hint="eastAsia" w:ascii="宋体" w:hAnsi="宋体" w:cs="宋体"/>
                <w:bCs/>
                <w:color w:val="auto"/>
                <w:sz w:val="20"/>
              </w:rPr>
              <w:t>文件</w:t>
            </w:r>
          </w:p>
        </w:tc>
        <w:tc>
          <w:tcPr>
            <w:tcW w:w="6381" w:type="dxa"/>
            <w:gridSpan w:val="7"/>
            <w:noWrap w:val="0"/>
            <w:vAlign w:val="center"/>
          </w:tcPr>
          <w:p>
            <w:pPr>
              <w:rPr>
                <w:rFonts w:ascii="宋体" w:hAnsi="宋体" w:cs="宋体"/>
                <w:bCs/>
                <w:color w:val="auto"/>
                <w:sz w:val="20"/>
              </w:rPr>
            </w:pPr>
            <w:r>
              <w:rPr>
                <w:rFonts w:hint="eastAsia" w:ascii="宋体" w:hAnsi="宋体" w:cs="宋体"/>
                <w:bCs/>
                <w:color w:val="auto"/>
                <w:sz w:val="20"/>
              </w:rPr>
              <w:t>《</w:t>
            </w:r>
            <w:r>
              <w:rPr>
                <w:rFonts w:hint="eastAsia" w:ascii="宋体" w:hAnsi="宋体" w:cs="宋体"/>
                <w:bCs/>
                <w:color w:val="auto"/>
                <w:sz w:val="20"/>
                <w:lang w:val="en-US" w:eastAsia="zh-CN"/>
              </w:rPr>
              <w:t>中国煤炭地质总局</w:t>
            </w:r>
            <w:r>
              <w:rPr>
                <w:rFonts w:hint="eastAsia" w:ascii="宋体" w:hAnsi="宋体" w:cs="宋体"/>
                <w:bCs/>
                <w:color w:val="auto"/>
                <w:sz w:val="20"/>
              </w:rPr>
              <w:t>关于</w:t>
            </w:r>
            <w:r>
              <w:rPr>
                <w:rFonts w:hint="eastAsia" w:ascii="宋体" w:hAnsi="宋体" w:cs="宋体"/>
                <w:bCs/>
                <w:color w:val="auto"/>
                <w:sz w:val="20"/>
                <w:lang w:val="en-US" w:eastAsia="zh-CN"/>
              </w:rPr>
              <w:t>中煤地建设工程有限公司以房产折抵工程款</w:t>
            </w:r>
            <w:r>
              <w:rPr>
                <w:rFonts w:hint="eastAsia" w:ascii="宋体" w:hAnsi="宋体" w:cs="宋体"/>
                <w:bCs/>
                <w:color w:val="auto"/>
                <w:sz w:val="20"/>
              </w:rPr>
              <w:t>的批复》（中煤地发</w:t>
            </w:r>
            <w:r>
              <w:rPr>
                <w:rFonts w:hint="eastAsia" w:ascii="宋体" w:hAnsi="宋体" w:cs="宋体"/>
                <w:bCs/>
                <w:color w:val="auto"/>
                <w:sz w:val="20"/>
                <w:lang w:val="en-US" w:eastAsia="zh-CN"/>
              </w:rPr>
              <w:t>规划</w:t>
            </w:r>
            <w:r>
              <w:rPr>
                <w:rFonts w:hint="eastAsia" w:ascii="宋体" w:hAnsi="宋体" w:cs="宋体"/>
                <w:bCs/>
                <w:color w:val="auto"/>
                <w:sz w:val="20"/>
              </w:rPr>
              <w:t>〔2020〕</w:t>
            </w:r>
            <w:r>
              <w:rPr>
                <w:rFonts w:hint="eastAsia" w:ascii="宋体" w:hAnsi="宋体" w:cs="宋体"/>
                <w:bCs/>
                <w:color w:val="auto"/>
                <w:sz w:val="20"/>
                <w:lang w:val="en-US" w:eastAsia="zh-CN"/>
              </w:rPr>
              <w:t>189</w:t>
            </w:r>
            <w:r>
              <w:rPr>
                <w:rFonts w:hint="eastAsia" w:ascii="宋体" w:hAnsi="宋体" w:cs="宋体"/>
                <w:bCs/>
                <w:color w:val="auto"/>
                <w:sz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2</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评估机构选聘</w:t>
            </w:r>
          </w:p>
          <w:p>
            <w:pPr>
              <w:jc w:val="center"/>
              <w:rPr>
                <w:rFonts w:ascii="宋体" w:hAnsi="宋体" w:cs="宋体"/>
                <w:bCs/>
                <w:color w:val="auto"/>
                <w:sz w:val="20"/>
              </w:rPr>
            </w:pPr>
            <w:r>
              <w:rPr>
                <w:rFonts w:hint="eastAsia" w:ascii="宋体" w:hAnsi="宋体" w:cs="宋体"/>
                <w:bCs/>
                <w:color w:val="auto"/>
                <w:sz w:val="20"/>
              </w:rPr>
              <w:t>方式</w:t>
            </w:r>
          </w:p>
        </w:tc>
        <w:tc>
          <w:tcPr>
            <w:tcW w:w="6381" w:type="dxa"/>
            <w:gridSpan w:val="7"/>
            <w:noWrap w:val="0"/>
            <w:vAlign w:val="center"/>
          </w:tcPr>
          <w:p>
            <w:pPr>
              <w:rPr>
                <w:rFonts w:ascii="宋体" w:hAnsi="宋体" w:cs="宋体"/>
                <w:bCs/>
                <w:color w:val="auto"/>
                <w:sz w:val="20"/>
              </w:rPr>
            </w:pPr>
            <w:r>
              <w:rPr>
                <w:rFonts w:hint="eastAsia" w:ascii="宋体" w:hAnsi="宋体" w:cs="宋体"/>
                <w:bCs/>
                <w:color w:val="auto"/>
                <w:sz w:val="20"/>
              </w:rPr>
              <w:t>总局资产财务部拟定比选通知并发放给总局评估机构备选库中具有资产评估资质的评估机构，并组织相关部门召开评估机构比选会议，对评估机构报送的评估方案进行审查，比选出符合要求的评估机构。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3</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评估机构及评估师资质</w:t>
            </w:r>
          </w:p>
        </w:tc>
        <w:tc>
          <w:tcPr>
            <w:tcW w:w="6381" w:type="dxa"/>
            <w:gridSpan w:val="7"/>
            <w:noWrap w:val="0"/>
            <w:vAlign w:val="center"/>
          </w:tcPr>
          <w:p>
            <w:pPr>
              <w:pStyle w:val="4"/>
              <w:rPr>
                <w:rFonts w:hint="eastAsia" w:ascii="宋体" w:hAnsi="宋体" w:eastAsia="宋体" w:cs="宋体"/>
                <w:b w:val="0"/>
                <w:bCs w:val="0"/>
                <w:color w:val="auto"/>
                <w:kern w:val="2"/>
                <w:sz w:val="20"/>
                <w:szCs w:val="22"/>
                <w:lang w:val="en-US" w:eastAsia="zh-CN" w:bidi="ar-SA"/>
              </w:rPr>
            </w:pPr>
            <w:r>
              <w:rPr>
                <w:rFonts w:hint="eastAsia" w:ascii="宋体" w:hAnsi="宋体" w:eastAsia="宋体" w:cs="宋体"/>
                <w:b w:val="0"/>
                <w:bCs w:val="0"/>
                <w:color w:val="auto"/>
                <w:kern w:val="2"/>
                <w:sz w:val="20"/>
                <w:szCs w:val="22"/>
                <w:lang w:val="en-US" w:eastAsia="zh-CN" w:bidi="ar-SA"/>
              </w:rPr>
              <w:t>北京仁达房地产评估有限公司 周 雨（注册号：1120170013）</w:t>
            </w:r>
          </w:p>
          <w:p>
            <w:pPr>
              <w:rPr>
                <w:rFonts w:hint="default" w:ascii="宋体" w:hAnsi="宋体" w:eastAsia="宋体" w:cs="宋体"/>
                <w:bCs/>
                <w:color w:val="auto"/>
                <w:sz w:val="20"/>
                <w:lang w:val="en-US" w:eastAsia="zh-CN"/>
              </w:rPr>
            </w:pPr>
            <w:r>
              <w:rPr>
                <w:rFonts w:hint="eastAsia"/>
                <w:color w:val="auto"/>
              </w:rPr>
              <w:t>王  琨（注册号：</w:t>
            </w:r>
            <w:r>
              <w:rPr>
                <w:color w:val="auto"/>
              </w:rPr>
              <w:t>1220130027</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4</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评估程序履行及独立第三方评估机构审核情况</w:t>
            </w:r>
          </w:p>
        </w:tc>
        <w:tc>
          <w:tcPr>
            <w:tcW w:w="6381" w:type="dxa"/>
            <w:gridSpan w:val="7"/>
            <w:noWrap w:val="0"/>
            <w:vAlign w:val="center"/>
          </w:tcPr>
          <w:p>
            <w:pPr>
              <w:jc w:val="left"/>
              <w:rPr>
                <w:rFonts w:ascii="宋体" w:hAnsi="宋体" w:cs="宋体"/>
                <w:bCs/>
                <w:color w:val="auto"/>
                <w:sz w:val="20"/>
              </w:rPr>
            </w:pPr>
            <w:r>
              <w:rPr>
                <w:rFonts w:hint="eastAsia" w:ascii="宋体" w:hAnsi="宋体" w:cs="宋体"/>
                <w:bCs/>
                <w:color w:val="auto"/>
                <w:sz w:val="20"/>
                <w:lang w:val="en-US" w:eastAsia="zh-CN"/>
              </w:rPr>
              <w:t>中煤地建设工程有限公司</w:t>
            </w:r>
            <w:r>
              <w:rPr>
                <w:rFonts w:hint="eastAsia" w:ascii="宋体" w:hAnsi="宋体" w:cs="宋体"/>
                <w:bCs/>
                <w:color w:val="auto"/>
                <w:sz w:val="20"/>
              </w:rPr>
              <w:t>选聘</w:t>
            </w:r>
            <w:r>
              <w:rPr>
                <w:rFonts w:hint="eastAsia" w:ascii="宋体" w:hAnsi="宋体" w:eastAsia="宋体" w:cs="宋体"/>
                <w:b w:val="0"/>
                <w:bCs w:val="0"/>
                <w:color w:val="auto"/>
                <w:kern w:val="2"/>
                <w:sz w:val="20"/>
                <w:szCs w:val="22"/>
                <w:lang w:val="en-US" w:eastAsia="zh-CN" w:bidi="ar-SA"/>
              </w:rPr>
              <w:t>北京仁达房地产评估有限公司</w:t>
            </w:r>
            <w:r>
              <w:rPr>
                <w:rFonts w:hint="eastAsia" w:ascii="宋体" w:hAnsi="宋体" w:cs="宋体"/>
                <w:bCs/>
                <w:color w:val="auto"/>
                <w:sz w:val="20"/>
              </w:rPr>
              <w:t>对</w:t>
            </w:r>
            <w:r>
              <w:rPr>
                <w:rFonts w:hint="eastAsia"/>
                <w:color w:val="auto"/>
              </w:rPr>
              <w:t>西安协和置业股份有限公司所属</w:t>
            </w:r>
            <w:r>
              <w:rPr>
                <w:color w:val="auto"/>
              </w:rPr>
              <w:t>位</w:t>
            </w:r>
            <w:r>
              <w:rPr>
                <w:rFonts w:hint="eastAsia"/>
                <w:color w:val="auto"/>
              </w:rPr>
              <w:t>于陕西省西安市曲江新区大唐不夜城东路曲江公馆二期第4幢4单元1层40103号商业房地产市场价值</w:t>
            </w:r>
            <w:r>
              <w:rPr>
                <w:rFonts w:hint="eastAsia" w:ascii="宋体" w:hAnsi="宋体" w:cs="宋体"/>
                <w:bCs/>
                <w:color w:val="auto"/>
                <w:sz w:val="20"/>
              </w:rPr>
              <w:t>开展评估工作，</w:t>
            </w:r>
            <w:r>
              <w:rPr>
                <w:rFonts w:hint="eastAsia" w:ascii="宋体" w:hAnsi="宋体" w:cs="宋体"/>
                <w:bCs/>
                <w:color w:val="auto"/>
                <w:sz w:val="20"/>
                <w:lang w:eastAsia="zh-CN"/>
              </w:rPr>
              <w:t>总局</w:t>
            </w:r>
            <w:r>
              <w:rPr>
                <w:rFonts w:hint="eastAsia" w:ascii="宋体" w:hAnsi="宋体" w:cs="宋体"/>
                <w:bCs/>
                <w:color w:val="auto"/>
                <w:sz w:val="20"/>
              </w:rPr>
              <w:t>委托</w:t>
            </w:r>
            <w:r>
              <w:rPr>
                <w:rFonts w:hint="eastAsia" w:ascii="宋体" w:hAnsi="宋体" w:cs="宋体"/>
                <w:bCs/>
                <w:color w:val="auto"/>
                <w:sz w:val="20"/>
                <w:lang w:eastAsia="zh-CN"/>
              </w:rPr>
              <w:t>第三方机构</w:t>
            </w:r>
            <w:r>
              <w:rPr>
                <w:rFonts w:hint="eastAsia" w:ascii="宋体" w:hAnsi="宋体" w:cs="宋体"/>
                <w:bCs/>
                <w:color w:val="auto"/>
                <w:sz w:val="20"/>
              </w:rPr>
              <w:t>对评估报告初稿进行了审核并出具了审核意见，评估公司针对审核意见进行了修订完善。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5</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评估报告摘要和特别事项说明</w:t>
            </w:r>
          </w:p>
        </w:tc>
        <w:tc>
          <w:tcPr>
            <w:tcW w:w="6381" w:type="dxa"/>
            <w:gridSpan w:val="7"/>
            <w:noWrap w:val="0"/>
            <w:vAlign w:val="center"/>
          </w:tcPr>
          <w:p>
            <w:pPr>
              <w:jc w:val="left"/>
              <w:rPr>
                <w:rFonts w:hint="default" w:ascii="宋体" w:hAnsi="宋体" w:eastAsia="宋体" w:cs="宋体"/>
                <w:bCs/>
                <w:color w:val="auto"/>
                <w:sz w:val="20"/>
                <w:lang w:val="en-US" w:eastAsia="zh-CN"/>
              </w:rPr>
            </w:pPr>
            <w:r>
              <w:rPr>
                <w:rFonts w:hint="eastAsia" w:ascii="宋体" w:hAnsi="宋体" w:eastAsia="宋体" w:cs="宋体"/>
                <w:b w:val="0"/>
                <w:bCs w:val="0"/>
                <w:color w:val="auto"/>
                <w:kern w:val="2"/>
                <w:sz w:val="20"/>
                <w:szCs w:val="22"/>
                <w:lang w:val="en-US" w:eastAsia="zh-CN" w:bidi="ar-SA"/>
              </w:rPr>
              <w:t>北京仁达房地产评估有限公司</w:t>
            </w:r>
            <w:r>
              <w:rPr>
                <w:rFonts w:hint="eastAsia" w:ascii="宋体" w:hAnsi="宋体" w:cs="宋体"/>
                <w:bCs/>
                <w:color w:val="auto"/>
                <w:sz w:val="20"/>
              </w:rPr>
              <w:t>接受</w:t>
            </w:r>
            <w:r>
              <w:rPr>
                <w:rFonts w:hint="eastAsia" w:ascii="宋体" w:hAnsi="宋体" w:cs="宋体"/>
                <w:bCs/>
                <w:color w:val="auto"/>
                <w:sz w:val="20"/>
                <w:lang w:val="en-US" w:eastAsia="zh-CN"/>
              </w:rPr>
              <w:t>中煤地建设工程有限公司</w:t>
            </w:r>
            <w:r>
              <w:rPr>
                <w:rFonts w:hint="eastAsia" w:ascii="宋体" w:hAnsi="宋体" w:cs="宋体"/>
                <w:bCs/>
                <w:color w:val="auto"/>
                <w:sz w:val="20"/>
              </w:rPr>
              <w:t>的委托，对</w:t>
            </w:r>
            <w:r>
              <w:rPr>
                <w:rFonts w:hint="eastAsia"/>
                <w:color w:val="auto"/>
              </w:rPr>
              <w:t>西安协和置业股份有限公司所属</w:t>
            </w:r>
            <w:r>
              <w:rPr>
                <w:color w:val="auto"/>
              </w:rPr>
              <w:t>位</w:t>
            </w:r>
            <w:r>
              <w:rPr>
                <w:rFonts w:hint="eastAsia"/>
                <w:color w:val="auto"/>
              </w:rPr>
              <w:t>于陕西省西安市曲江新区大唐不夜城东路曲江公馆二期第4幢4单元1层40103号商业房地产市场价值</w:t>
            </w:r>
            <w:r>
              <w:rPr>
                <w:rFonts w:hint="eastAsia" w:ascii="宋体" w:hAnsi="宋体" w:cs="宋体"/>
                <w:bCs/>
                <w:color w:val="auto"/>
                <w:sz w:val="20"/>
              </w:rPr>
              <w:t>于2020年</w:t>
            </w:r>
            <w:r>
              <w:rPr>
                <w:rFonts w:hint="eastAsia" w:ascii="宋体" w:hAnsi="宋体" w:cs="宋体"/>
                <w:bCs/>
                <w:color w:val="auto"/>
                <w:sz w:val="20"/>
                <w:lang w:val="en-US" w:eastAsia="zh-CN"/>
              </w:rPr>
              <w:t>7</w:t>
            </w:r>
            <w:r>
              <w:rPr>
                <w:rFonts w:hint="eastAsia" w:ascii="宋体" w:hAnsi="宋体" w:cs="宋体"/>
                <w:bCs/>
                <w:color w:val="auto"/>
                <w:sz w:val="20"/>
              </w:rPr>
              <w:t>月</w:t>
            </w:r>
            <w:r>
              <w:rPr>
                <w:rFonts w:hint="eastAsia" w:ascii="宋体" w:hAnsi="宋体" w:cs="宋体"/>
                <w:bCs/>
                <w:color w:val="auto"/>
                <w:sz w:val="20"/>
                <w:lang w:val="en-US" w:eastAsia="zh-CN"/>
              </w:rPr>
              <w:t>13</w:t>
            </w:r>
            <w:r>
              <w:rPr>
                <w:rFonts w:hint="eastAsia" w:ascii="宋体" w:hAnsi="宋体" w:cs="宋体"/>
                <w:bCs/>
                <w:color w:val="auto"/>
                <w:sz w:val="20"/>
              </w:rPr>
              <w:t>日的市场价格开展评估。本次评估的价值类型为市场价值。</w:t>
            </w:r>
            <w:r>
              <w:rPr>
                <w:rFonts w:hint="eastAsia" w:ascii="宋体" w:hAnsi="宋体" w:eastAsia="宋体" w:cs="宋体"/>
                <w:b w:val="0"/>
                <w:bCs w:val="0"/>
                <w:color w:val="auto"/>
                <w:kern w:val="2"/>
                <w:sz w:val="20"/>
                <w:szCs w:val="22"/>
                <w:lang w:val="en-US" w:eastAsia="zh-CN" w:bidi="ar-SA"/>
              </w:rPr>
              <w:t>北京仁达房地产评估有限公司</w:t>
            </w:r>
            <w:r>
              <w:rPr>
                <w:rFonts w:hint="eastAsia" w:ascii="宋体" w:hAnsi="宋体" w:cs="宋体"/>
                <w:b w:val="0"/>
                <w:bCs w:val="0"/>
                <w:color w:val="auto"/>
                <w:kern w:val="2"/>
                <w:sz w:val="20"/>
                <w:szCs w:val="22"/>
                <w:lang w:val="en-US" w:eastAsia="zh-CN" w:bidi="ar-SA"/>
              </w:rPr>
              <w:t>本着独立客观、公证的原则</w:t>
            </w:r>
            <w:r>
              <w:rPr>
                <w:rFonts w:hint="eastAsia"/>
                <w:color w:val="auto"/>
                <w:szCs w:val="22"/>
              </w:rPr>
              <w:t>实施了评估所必须的各项程序，按照国家关于房地产评估的有关规定，运用比较法、收益法两种方法评估得到估价对象于价值时点2020年7月13日，在价值定义和估价假设限制条件下的估价结果如下： 建筑面积：1417.25平方米（不含配套用房建筑面积2372.73平方米）房地产市场总价：4377万元</w:t>
            </w:r>
            <w:r>
              <w:rPr>
                <w:rFonts w:hint="eastAsia"/>
                <w:color w:val="auto"/>
                <w:szCs w:val="22"/>
                <w:lang w:eastAsia="zh-CN"/>
              </w:rPr>
              <w:t>（</w:t>
            </w:r>
            <w:r>
              <w:rPr>
                <w:rFonts w:hint="eastAsia"/>
                <w:color w:val="auto"/>
                <w:szCs w:val="22"/>
              </w:rPr>
              <w:t>大写：肆仟叁佰柒拾柒万元整</w:t>
            </w:r>
            <w:r>
              <w:rPr>
                <w:rFonts w:hint="eastAsia"/>
                <w:color w:val="auto"/>
                <w:szCs w:val="22"/>
                <w:lang w:eastAsia="zh-CN"/>
              </w:rPr>
              <w:t>）</w:t>
            </w:r>
            <w:r>
              <w:rPr>
                <w:rFonts w:hint="eastAsia"/>
                <w:color w:val="auto"/>
                <w:szCs w:val="22"/>
              </w:rPr>
              <w:t>单位面积房地产价值：30884元/平方米（货币单位）：人民币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04" w:type="dxa"/>
            <w:vMerge w:val="restart"/>
            <w:noWrap w:val="0"/>
            <w:vAlign w:val="center"/>
          </w:tcPr>
          <w:p>
            <w:pPr>
              <w:jc w:val="center"/>
              <w:rPr>
                <w:rFonts w:hint="eastAsia" w:ascii="宋体" w:hAnsi="宋体" w:eastAsia="宋体" w:cs="宋体"/>
                <w:bCs/>
                <w:color w:val="auto"/>
                <w:kern w:val="2"/>
                <w:sz w:val="20"/>
                <w:lang w:val="en-US" w:eastAsia="zh-CN" w:bidi="ar-SA"/>
              </w:rPr>
            </w:pPr>
            <w:r>
              <w:rPr>
                <w:rFonts w:hint="eastAsia" w:ascii="宋体" w:hAnsi="宋体" w:cs="宋体"/>
                <w:bCs/>
                <w:color w:val="auto"/>
                <w:sz w:val="20"/>
              </w:rPr>
              <w:t>6</w:t>
            </w:r>
          </w:p>
        </w:tc>
        <w:tc>
          <w:tcPr>
            <w:tcW w:w="1635" w:type="dxa"/>
            <w:vMerge w:val="restart"/>
            <w:noWrap w:val="0"/>
            <w:vAlign w:val="center"/>
          </w:tcPr>
          <w:p>
            <w:pPr>
              <w:jc w:val="center"/>
              <w:rPr>
                <w:rFonts w:ascii="宋体" w:hAnsi="宋体" w:cs="宋体"/>
                <w:bCs/>
                <w:color w:val="auto"/>
                <w:sz w:val="20"/>
              </w:rPr>
            </w:pPr>
            <w:r>
              <w:rPr>
                <w:rFonts w:hint="eastAsia" w:ascii="宋体" w:hAnsi="宋体" w:cs="宋体"/>
                <w:bCs/>
                <w:color w:val="auto"/>
                <w:sz w:val="20"/>
              </w:rPr>
              <w:t>评估结果汇总表</w:t>
            </w:r>
          </w:p>
          <w:p>
            <w:pPr>
              <w:jc w:val="center"/>
              <w:rPr>
                <w:rFonts w:hint="eastAsia" w:ascii="宋体" w:hAnsi="宋体" w:eastAsia="宋体" w:cs="宋体"/>
                <w:bCs/>
                <w:color w:val="auto"/>
                <w:kern w:val="2"/>
                <w:sz w:val="20"/>
                <w:lang w:val="en-US" w:eastAsia="zh-CN" w:bidi="ar-SA"/>
              </w:rPr>
            </w:pPr>
            <w:r>
              <w:rPr>
                <w:rFonts w:hint="eastAsia" w:ascii="宋体" w:hAnsi="宋体" w:cs="宋体"/>
                <w:bCs/>
                <w:color w:val="auto"/>
                <w:sz w:val="20"/>
              </w:rPr>
              <w:t>（单位：万元）</w:t>
            </w:r>
          </w:p>
        </w:tc>
        <w:tc>
          <w:tcPr>
            <w:tcW w:w="1063" w:type="dxa"/>
            <w:vMerge w:val="restart"/>
            <w:noWrap w:val="0"/>
            <w:vAlign w:val="center"/>
          </w:tcPr>
          <w:p>
            <w:pPr>
              <w:jc w:val="center"/>
              <w:rPr>
                <w:rFonts w:hint="eastAsia" w:ascii="宋体" w:hAnsi="宋体" w:eastAsia="宋体" w:cs="宋体"/>
                <w:bCs/>
                <w:color w:val="auto"/>
                <w:sz w:val="20"/>
                <w:lang w:val="en-US" w:eastAsia="zh-CN"/>
              </w:rPr>
            </w:pPr>
            <w:r>
              <w:rPr>
                <w:rFonts w:hint="eastAsia" w:ascii="宋体" w:hAnsi="宋体" w:cs="宋体"/>
                <w:bCs/>
                <w:color w:val="auto"/>
                <w:sz w:val="20"/>
                <w:lang w:val="en-US" w:eastAsia="zh-CN"/>
              </w:rPr>
              <w:t>估价方法</w:t>
            </w:r>
          </w:p>
        </w:tc>
        <w:tc>
          <w:tcPr>
            <w:tcW w:w="1063" w:type="dxa"/>
            <w:vMerge w:val="restart"/>
            <w:noWrap w:val="0"/>
            <w:vAlign w:val="center"/>
          </w:tcPr>
          <w:p>
            <w:pPr>
              <w:jc w:val="center"/>
              <w:rPr>
                <w:rFonts w:hint="eastAsia" w:ascii="宋体" w:hAnsi="宋体" w:eastAsia="宋体" w:cs="宋体"/>
                <w:bCs/>
                <w:color w:val="auto"/>
                <w:sz w:val="20"/>
                <w:lang w:val="en-US" w:eastAsia="zh-CN"/>
              </w:rPr>
            </w:pPr>
            <w:r>
              <w:rPr>
                <w:rFonts w:hint="eastAsia" w:ascii="宋体" w:hAnsi="宋体" w:cs="宋体"/>
                <w:bCs/>
                <w:color w:val="auto"/>
                <w:sz w:val="20"/>
                <w:lang w:val="en-US" w:eastAsia="zh-CN"/>
              </w:rPr>
              <w:t>方法权重</w:t>
            </w:r>
          </w:p>
        </w:tc>
        <w:tc>
          <w:tcPr>
            <w:tcW w:w="2126" w:type="dxa"/>
            <w:gridSpan w:val="2"/>
            <w:noWrap w:val="0"/>
            <w:vAlign w:val="center"/>
          </w:tcPr>
          <w:p>
            <w:pPr>
              <w:jc w:val="center"/>
              <w:rPr>
                <w:rFonts w:hint="eastAsia" w:ascii="宋体" w:hAnsi="宋体" w:eastAsia="宋体" w:cs="宋体"/>
                <w:bCs/>
                <w:color w:val="auto"/>
                <w:sz w:val="20"/>
                <w:lang w:val="en-US" w:eastAsia="zh-CN"/>
              </w:rPr>
            </w:pPr>
            <w:r>
              <w:rPr>
                <w:rFonts w:hint="eastAsia" w:ascii="宋体" w:hAnsi="宋体" w:cs="宋体"/>
                <w:bCs/>
                <w:color w:val="auto"/>
                <w:sz w:val="20"/>
                <w:lang w:val="en-US" w:eastAsia="zh-CN"/>
              </w:rPr>
              <w:t>测算结果</w:t>
            </w:r>
          </w:p>
        </w:tc>
        <w:tc>
          <w:tcPr>
            <w:tcW w:w="2129" w:type="dxa"/>
            <w:gridSpan w:val="3"/>
            <w:noWrap w:val="0"/>
            <w:vAlign w:val="center"/>
          </w:tcPr>
          <w:p>
            <w:pPr>
              <w:jc w:val="center"/>
              <w:rPr>
                <w:rFonts w:hint="eastAsia" w:ascii="宋体" w:hAnsi="宋体" w:eastAsia="宋体" w:cs="宋体"/>
                <w:bCs/>
                <w:color w:val="auto"/>
                <w:sz w:val="20"/>
                <w:lang w:val="en-US" w:eastAsia="zh-CN"/>
              </w:rPr>
            </w:pPr>
            <w:r>
              <w:rPr>
                <w:rFonts w:hint="eastAsia" w:ascii="宋体" w:hAnsi="宋体" w:cs="宋体"/>
                <w:bCs/>
                <w:color w:val="auto"/>
                <w:sz w:val="20"/>
                <w:lang w:val="en-US" w:eastAsia="zh-CN"/>
              </w:rPr>
              <w:t>评估价值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04" w:type="dxa"/>
            <w:vMerge w:val="continue"/>
            <w:noWrap w:val="0"/>
            <w:vAlign w:val="center"/>
          </w:tcPr>
          <w:p>
            <w:pPr>
              <w:jc w:val="left"/>
              <w:rPr>
                <w:color w:val="auto"/>
              </w:rPr>
            </w:pPr>
          </w:p>
        </w:tc>
        <w:tc>
          <w:tcPr>
            <w:tcW w:w="1635" w:type="dxa"/>
            <w:vMerge w:val="continue"/>
            <w:noWrap w:val="0"/>
            <w:vAlign w:val="center"/>
          </w:tcPr>
          <w:p>
            <w:pPr>
              <w:jc w:val="left"/>
              <w:rPr>
                <w:color w:val="auto"/>
              </w:rPr>
            </w:pPr>
          </w:p>
        </w:tc>
        <w:tc>
          <w:tcPr>
            <w:tcW w:w="1063" w:type="dxa"/>
            <w:vMerge w:val="continue"/>
            <w:noWrap w:val="0"/>
            <w:vAlign w:val="center"/>
          </w:tcPr>
          <w:p>
            <w:pPr>
              <w:jc w:val="center"/>
              <w:rPr>
                <w:color w:val="auto"/>
              </w:rPr>
            </w:pPr>
          </w:p>
        </w:tc>
        <w:tc>
          <w:tcPr>
            <w:tcW w:w="1063" w:type="dxa"/>
            <w:vMerge w:val="continue"/>
            <w:noWrap w:val="0"/>
            <w:vAlign w:val="center"/>
          </w:tcPr>
          <w:p>
            <w:pPr>
              <w:jc w:val="center"/>
              <w:rPr>
                <w:color w:val="auto"/>
              </w:rPr>
            </w:pPr>
          </w:p>
        </w:tc>
        <w:tc>
          <w:tcPr>
            <w:tcW w:w="1063" w:type="dxa"/>
            <w:noWrap w:val="0"/>
            <w:vAlign w:val="center"/>
          </w:tcPr>
          <w:p>
            <w:pPr>
              <w:jc w:val="center"/>
              <w:rPr>
                <w:color w:val="auto"/>
              </w:rPr>
            </w:pPr>
            <w:r>
              <w:rPr>
                <w:rFonts w:hint="eastAsia" w:ascii="宋体" w:hAnsi="宋体"/>
                <w:color w:val="auto"/>
                <w:sz w:val="20"/>
                <w:szCs w:val="20"/>
              </w:rPr>
              <w:t>总价（万元）</w:t>
            </w:r>
          </w:p>
        </w:tc>
        <w:tc>
          <w:tcPr>
            <w:tcW w:w="1063" w:type="dxa"/>
            <w:noWrap w:val="0"/>
            <w:vAlign w:val="center"/>
          </w:tcPr>
          <w:p>
            <w:pPr>
              <w:jc w:val="center"/>
              <w:rPr>
                <w:color w:val="auto"/>
              </w:rPr>
            </w:pPr>
            <w:r>
              <w:rPr>
                <w:rFonts w:hint="eastAsia" w:ascii="宋体" w:hAnsi="宋体" w:cs="Times New Roman"/>
                <w:color w:val="auto"/>
                <w:sz w:val="20"/>
                <w:szCs w:val="20"/>
              </w:rPr>
              <w:t>单位建筑面积价值</w:t>
            </w:r>
            <w:r>
              <w:rPr>
                <w:rFonts w:hint="eastAsia" w:ascii="宋体" w:hAnsi="宋体"/>
                <w:color w:val="auto"/>
                <w:sz w:val="20"/>
                <w:szCs w:val="20"/>
              </w:rPr>
              <w:t>（元/平方米）</w:t>
            </w:r>
          </w:p>
        </w:tc>
        <w:tc>
          <w:tcPr>
            <w:tcW w:w="1063" w:type="dxa"/>
            <w:noWrap w:val="0"/>
            <w:vAlign w:val="center"/>
          </w:tcPr>
          <w:p>
            <w:pPr>
              <w:jc w:val="center"/>
              <w:rPr>
                <w:color w:val="auto"/>
              </w:rPr>
            </w:pPr>
            <w:r>
              <w:rPr>
                <w:rFonts w:hint="eastAsia" w:ascii="宋体" w:hAnsi="宋体"/>
                <w:color w:val="auto"/>
                <w:sz w:val="20"/>
                <w:szCs w:val="20"/>
              </w:rPr>
              <w:t>总价（万元）</w:t>
            </w:r>
          </w:p>
        </w:tc>
        <w:tc>
          <w:tcPr>
            <w:tcW w:w="1066" w:type="dxa"/>
            <w:gridSpan w:val="2"/>
            <w:noWrap w:val="0"/>
            <w:vAlign w:val="center"/>
          </w:tcPr>
          <w:p>
            <w:pPr>
              <w:jc w:val="center"/>
              <w:rPr>
                <w:color w:val="auto"/>
              </w:rPr>
            </w:pPr>
            <w:r>
              <w:rPr>
                <w:rFonts w:hint="eastAsia" w:ascii="宋体" w:hAnsi="宋体" w:cs="Times New Roman"/>
                <w:color w:val="auto"/>
                <w:sz w:val="20"/>
                <w:szCs w:val="20"/>
              </w:rPr>
              <w:t>单位建筑面积价值</w:t>
            </w:r>
            <w:r>
              <w:rPr>
                <w:rFonts w:hint="eastAsia" w:ascii="宋体" w:hAnsi="宋体"/>
                <w:color w:val="auto"/>
                <w:sz w:val="20"/>
                <w:szCs w:val="20"/>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04" w:type="dxa"/>
            <w:vMerge w:val="continue"/>
            <w:noWrap w:val="0"/>
            <w:vAlign w:val="center"/>
          </w:tcPr>
          <w:p>
            <w:pPr>
              <w:jc w:val="left"/>
              <w:rPr>
                <w:color w:val="auto"/>
              </w:rPr>
            </w:pPr>
          </w:p>
        </w:tc>
        <w:tc>
          <w:tcPr>
            <w:tcW w:w="1635" w:type="dxa"/>
            <w:vMerge w:val="continue"/>
            <w:noWrap w:val="0"/>
            <w:vAlign w:val="center"/>
          </w:tcPr>
          <w:p>
            <w:pPr>
              <w:jc w:val="left"/>
              <w:rPr>
                <w:color w:val="auto"/>
              </w:rPr>
            </w:pPr>
          </w:p>
        </w:tc>
        <w:tc>
          <w:tcPr>
            <w:tcW w:w="1063" w:type="dxa"/>
            <w:noWrap w:val="0"/>
            <w:vAlign w:val="center"/>
          </w:tcPr>
          <w:p>
            <w:pPr>
              <w:jc w:val="center"/>
              <w:rPr>
                <w:rFonts w:hint="eastAsia" w:eastAsia="宋体"/>
                <w:color w:val="auto"/>
                <w:lang w:val="en-US" w:eastAsia="zh-CN"/>
              </w:rPr>
            </w:pPr>
            <w:r>
              <w:rPr>
                <w:rFonts w:hint="eastAsia"/>
                <w:color w:val="auto"/>
                <w:lang w:val="en-US" w:eastAsia="zh-CN"/>
              </w:rPr>
              <w:t>比较法</w:t>
            </w:r>
          </w:p>
        </w:tc>
        <w:tc>
          <w:tcPr>
            <w:tcW w:w="1063" w:type="dxa"/>
            <w:noWrap w:val="0"/>
            <w:vAlign w:val="center"/>
          </w:tcPr>
          <w:p>
            <w:pPr>
              <w:jc w:val="center"/>
              <w:rPr>
                <w:rFonts w:hint="default" w:eastAsia="宋体"/>
                <w:color w:val="auto"/>
                <w:lang w:val="en-US" w:eastAsia="zh-CN"/>
              </w:rPr>
            </w:pPr>
            <w:r>
              <w:rPr>
                <w:rFonts w:hint="eastAsia"/>
                <w:color w:val="auto"/>
                <w:lang w:val="en-US" w:eastAsia="zh-CN"/>
              </w:rPr>
              <w:t>0.5</w:t>
            </w:r>
          </w:p>
        </w:tc>
        <w:tc>
          <w:tcPr>
            <w:tcW w:w="1063" w:type="dxa"/>
            <w:noWrap w:val="0"/>
            <w:vAlign w:val="center"/>
          </w:tcPr>
          <w:p>
            <w:pPr>
              <w:jc w:val="center"/>
              <w:rPr>
                <w:color w:val="auto"/>
              </w:rPr>
            </w:pPr>
            <w:r>
              <w:rPr>
                <w:rFonts w:ascii="宋体" w:hAnsi="宋体"/>
                <w:color w:val="auto"/>
                <w:sz w:val="20"/>
                <w:szCs w:val="20"/>
              </w:rPr>
              <w:t>4462</w:t>
            </w:r>
          </w:p>
        </w:tc>
        <w:tc>
          <w:tcPr>
            <w:tcW w:w="1063" w:type="dxa"/>
            <w:noWrap w:val="0"/>
            <w:vAlign w:val="center"/>
          </w:tcPr>
          <w:p>
            <w:pPr>
              <w:jc w:val="center"/>
              <w:rPr>
                <w:color w:val="auto"/>
              </w:rPr>
            </w:pPr>
            <w:r>
              <w:rPr>
                <w:rFonts w:ascii="宋体" w:hAnsi="宋体"/>
                <w:color w:val="auto"/>
                <w:sz w:val="20"/>
                <w:szCs w:val="20"/>
              </w:rPr>
              <w:t>31484</w:t>
            </w:r>
          </w:p>
        </w:tc>
        <w:tc>
          <w:tcPr>
            <w:tcW w:w="1064" w:type="dxa"/>
            <w:gridSpan w:val="2"/>
            <w:vMerge w:val="restart"/>
            <w:noWrap w:val="0"/>
            <w:vAlign w:val="center"/>
          </w:tcPr>
          <w:p>
            <w:pPr>
              <w:ind w:firstLine="200" w:firstLineChars="100"/>
              <w:jc w:val="both"/>
              <w:rPr>
                <w:rFonts w:hint="default"/>
                <w:color w:val="auto"/>
                <w:lang w:val="en-US" w:eastAsia="zh-CN"/>
              </w:rPr>
            </w:pPr>
            <w:r>
              <w:rPr>
                <w:rFonts w:hint="eastAsia" w:ascii="宋体" w:hAnsi="宋体"/>
                <w:color w:val="auto"/>
                <w:sz w:val="20"/>
                <w:szCs w:val="20"/>
                <w:lang w:val="en-US" w:eastAsia="zh-CN"/>
              </w:rPr>
              <w:t>4377</w:t>
            </w:r>
          </w:p>
        </w:tc>
        <w:tc>
          <w:tcPr>
            <w:tcW w:w="1065" w:type="dxa"/>
            <w:vMerge w:val="restart"/>
            <w:noWrap w:val="0"/>
            <w:vAlign w:val="center"/>
          </w:tcPr>
          <w:p>
            <w:pPr>
              <w:jc w:val="center"/>
              <w:rPr>
                <w:rFonts w:ascii="宋体" w:hAnsi="宋体"/>
                <w:color w:val="auto"/>
                <w:sz w:val="20"/>
                <w:szCs w:val="20"/>
              </w:rPr>
            </w:pPr>
            <w:r>
              <w:rPr>
                <w:rFonts w:ascii="宋体" w:hAnsi="宋体"/>
                <w:color w:val="auto"/>
                <w:sz w:val="20"/>
                <w:szCs w:val="20"/>
              </w:rPr>
              <w:t>30884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04" w:type="dxa"/>
            <w:vMerge w:val="continue"/>
            <w:noWrap w:val="0"/>
            <w:vAlign w:val="center"/>
          </w:tcPr>
          <w:p>
            <w:pPr>
              <w:jc w:val="left"/>
              <w:rPr>
                <w:color w:val="auto"/>
              </w:rPr>
            </w:pPr>
          </w:p>
        </w:tc>
        <w:tc>
          <w:tcPr>
            <w:tcW w:w="1635" w:type="dxa"/>
            <w:vMerge w:val="continue"/>
            <w:noWrap w:val="0"/>
            <w:vAlign w:val="center"/>
          </w:tcPr>
          <w:p>
            <w:pPr>
              <w:jc w:val="left"/>
              <w:rPr>
                <w:color w:val="auto"/>
              </w:rPr>
            </w:pPr>
          </w:p>
        </w:tc>
        <w:tc>
          <w:tcPr>
            <w:tcW w:w="1063" w:type="dxa"/>
            <w:noWrap w:val="0"/>
            <w:vAlign w:val="center"/>
          </w:tcPr>
          <w:p>
            <w:pPr>
              <w:jc w:val="center"/>
              <w:rPr>
                <w:rFonts w:hint="eastAsia" w:eastAsia="宋体"/>
                <w:color w:val="auto"/>
                <w:lang w:val="en-US" w:eastAsia="zh-CN"/>
              </w:rPr>
            </w:pPr>
            <w:r>
              <w:rPr>
                <w:rFonts w:hint="eastAsia"/>
                <w:color w:val="auto"/>
                <w:lang w:val="en-US" w:eastAsia="zh-CN"/>
              </w:rPr>
              <w:t>收益法</w:t>
            </w:r>
          </w:p>
        </w:tc>
        <w:tc>
          <w:tcPr>
            <w:tcW w:w="1063" w:type="dxa"/>
            <w:noWrap w:val="0"/>
            <w:vAlign w:val="center"/>
          </w:tcPr>
          <w:p>
            <w:pPr>
              <w:jc w:val="center"/>
              <w:rPr>
                <w:rFonts w:hint="default" w:eastAsia="宋体"/>
                <w:color w:val="auto"/>
                <w:lang w:val="en-US" w:eastAsia="zh-CN"/>
              </w:rPr>
            </w:pPr>
            <w:r>
              <w:rPr>
                <w:rFonts w:hint="eastAsia"/>
                <w:color w:val="auto"/>
                <w:lang w:val="en-US" w:eastAsia="zh-CN"/>
              </w:rPr>
              <w:t>0.5</w:t>
            </w:r>
          </w:p>
        </w:tc>
        <w:tc>
          <w:tcPr>
            <w:tcW w:w="1063" w:type="dxa"/>
            <w:noWrap w:val="0"/>
            <w:vAlign w:val="center"/>
          </w:tcPr>
          <w:p>
            <w:pPr>
              <w:jc w:val="center"/>
              <w:rPr>
                <w:color w:val="auto"/>
              </w:rPr>
            </w:pPr>
            <w:r>
              <w:rPr>
                <w:rFonts w:ascii="宋体" w:hAnsi="宋体"/>
                <w:color w:val="auto"/>
                <w:sz w:val="20"/>
                <w:szCs w:val="20"/>
              </w:rPr>
              <w:t>4291</w:t>
            </w:r>
          </w:p>
        </w:tc>
        <w:tc>
          <w:tcPr>
            <w:tcW w:w="1063" w:type="dxa"/>
            <w:noWrap w:val="0"/>
            <w:vAlign w:val="center"/>
          </w:tcPr>
          <w:p>
            <w:pPr>
              <w:jc w:val="center"/>
              <w:rPr>
                <w:color w:val="auto"/>
              </w:rPr>
            </w:pPr>
            <w:r>
              <w:rPr>
                <w:rFonts w:ascii="宋体" w:hAnsi="宋体"/>
                <w:color w:val="auto"/>
                <w:sz w:val="20"/>
                <w:szCs w:val="20"/>
              </w:rPr>
              <w:t>30278</w:t>
            </w:r>
          </w:p>
        </w:tc>
        <w:tc>
          <w:tcPr>
            <w:tcW w:w="1064" w:type="dxa"/>
            <w:gridSpan w:val="2"/>
            <w:vMerge w:val="continue"/>
            <w:noWrap w:val="0"/>
            <w:vAlign w:val="center"/>
          </w:tcPr>
          <w:p>
            <w:pPr>
              <w:jc w:val="center"/>
              <w:rPr>
                <w:color w:val="auto"/>
              </w:rPr>
            </w:pPr>
          </w:p>
        </w:tc>
        <w:tc>
          <w:tcPr>
            <w:tcW w:w="1065" w:type="dxa"/>
            <w:vMerge w:val="continue"/>
            <w:noWrap w:val="0"/>
            <w:vAlign w:val="center"/>
          </w:tcPr>
          <w:p>
            <w:pPr>
              <w:jc w:val="center"/>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7</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评估资料查阅</w:t>
            </w:r>
          </w:p>
          <w:p>
            <w:pPr>
              <w:jc w:val="center"/>
              <w:rPr>
                <w:rFonts w:ascii="宋体" w:hAnsi="宋体" w:cs="宋体"/>
                <w:bCs/>
                <w:color w:val="auto"/>
                <w:sz w:val="20"/>
              </w:rPr>
            </w:pPr>
            <w:r>
              <w:rPr>
                <w:rFonts w:hint="eastAsia" w:ascii="宋体" w:hAnsi="宋体" w:cs="宋体"/>
                <w:bCs/>
                <w:color w:val="auto"/>
                <w:sz w:val="20"/>
              </w:rPr>
              <w:t>方式</w:t>
            </w:r>
          </w:p>
        </w:tc>
        <w:tc>
          <w:tcPr>
            <w:tcW w:w="6381" w:type="dxa"/>
            <w:gridSpan w:val="7"/>
            <w:noWrap w:val="0"/>
            <w:vAlign w:val="center"/>
          </w:tcPr>
          <w:p>
            <w:pPr>
              <w:jc w:val="left"/>
              <w:rPr>
                <w:rFonts w:ascii="宋体" w:hAnsi="宋体" w:cs="宋体"/>
                <w:bCs/>
                <w:color w:val="auto"/>
                <w:sz w:val="20"/>
              </w:rPr>
            </w:pPr>
            <w:r>
              <w:rPr>
                <w:rFonts w:hint="eastAsia" w:ascii="宋体" w:hAnsi="宋体" w:cs="宋体"/>
                <w:bCs/>
                <w:color w:val="auto"/>
                <w:sz w:val="20"/>
              </w:rPr>
              <w:t>评估批复、比选评估机构方案、评估报告初稿及审核意见等纸质及电子资料在资产财务部资产管理处。</w:t>
            </w:r>
          </w:p>
        </w:tc>
      </w:tr>
    </w:tbl>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45D2E"/>
    <w:rsid w:val="4AA4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模板-眉首内容2"/>
    <w:basedOn w:val="5"/>
    <w:qFormat/>
    <w:uiPriority w:val="0"/>
    <w:pPr>
      <w:jc w:val="both"/>
    </w:pPr>
  </w:style>
  <w:style w:type="paragraph" w:customStyle="1" w:styleId="5">
    <w:name w:val="模板-眉首内容1"/>
    <w:qFormat/>
    <w:uiPriority w:val="0"/>
    <w:pPr>
      <w:spacing w:line="360" w:lineRule="auto"/>
      <w:jc w:val="distribute"/>
    </w:pPr>
    <w:rPr>
      <w:rFonts w:ascii="Times New Roman" w:hAnsi="Times New Roman" w:eastAsia="楷体_GB2312" w:cs="Times New Roman"/>
      <w:b/>
      <w:kern w:val="2"/>
      <w:sz w:val="3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2021-06-18T03:36:00Z</dcterms:created>
  <dc:creator>宣传处</dc:creator>
  <cp:lastModifiedBy>宣传处</cp:lastModifiedBy>
  <dcterms:modified xsi:type="dcterms:W3CDTF">2021-06-18T03:37:22Z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24F2B57EB09A4B6C8FC2837F1AA72358</vt:lpwstr>
  </property>
</Properties>
</file>