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ascii="宋体" w:hAnsi="宋体" w:cs="宋体"/>
          <w:bCs/>
          <w:sz w:val="20"/>
        </w:rPr>
      </w:pPr>
      <w:r>
        <w:rPr>
          <w:rFonts w:hint="eastAsia" w:ascii="宋体" w:hAnsi="宋体" w:cs="宋体"/>
          <w:bCs/>
          <w:sz w:val="20"/>
        </w:rPr>
        <w:t>评估项目：中化地质矿山总局福建地质勘查院</w:t>
      </w:r>
      <w:r>
        <w:rPr>
          <w:rFonts w:hint="eastAsia" w:ascii="宋体" w:hAnsi="宋体" w:cs="宋体"/>
          <w:bCs/>
          <w:sz w:val="20"/>
          <w:lang w:eastAsia="zh-CN"/>
        </w:rPr>
        <w:t>转让</w:t>
      </w:r>
      <w:r>
        <w:rPr>
          <w:rFonts w:hint="eastAsia" w:ascii="宋体" w:hAnsi="宋体" w:cs="宋体"/>
          <w:bCs/>
          <w:sz w:val="20"/>
        </w:rPr>
        <w:t>福州市长福小区闲置车位产权资产评估</w:t>
      </w:r>
    </w:p>
    <w:p>
      <w:pPr>
        <w:rPr>
          <w:rFonts w:ascii="宋体" w:hAnsi="宋体" w:cs="宋体"/>
          <w:bCs/>
          <w:sz w:val="20"/>
        </w:rPr>
      </w:pPr>
      <w:r>
        <w:rPr>
          <w:rFonts w:hint="eastAsia" w:ascii="宋体" w:hAnsi="宋体" w:cs="宋体"/>
          <w:bCs/>
          <w:sz w:val="20"/>
        </w:rPr>
        <w:t>公示期限：2021年7月13日至2021年7月19日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sz w:val="20"/>
              </w:rPr>
            </w:pPr>
            <w:r>
              <w:rPr>
                <w:rFonts w:hint="eastAsia" w:ascii="宋体" w:hAnsi="宋体" w:cs="宋体"/>
                <w:bCs/>
                <w:sz w:val="20"/>
              </w:rPr>
              <w:t>序号</w:t>
            </w:r>
          </w:p>
        </w:tc>
        <w:tc>
          <w:tcPr>
            <w:tcW w:w="1635" w:type="dxa"/>
            <w:noWrap w:val="0"/>
            <w:vAlign w:val="center"/>
          </w:tcPr>
          <w:p>
            <w:pPr>
              <w:jc w:val="center"/>
              <w:rPr>
                <w:rFonts w:ascii="宋体" w:hAnsi="宋体" w:cs="宋体"/>
                <w:bCs/>
                <w:sz w:val="20"/>
              </w:rPr>
            </w:pPr>
            <w:r>
              <w:rPr>
                <w:rFonts w:hint="eastAsia" w:ascii="宋体" w:hAnsi="宋体" w:cs="宋体"/>
                <w:bCs/>
                <w:sz w:val="20"/>
              </w:rPr>
              <w:t>公示项目</w:t>
            </w:r>
          </w:p>
        </w:tc>
        <w:tc>
          <w:tcPr>
            <w:tcW w:w="6465"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04" w:type="dxa"/>
            <w:noWrap w:val="0"/>
            <w:vAlign w:val="center"/>
          </w:tcPr>
          <w:p>
            <w:pPr>
              <w:jc w:val="center"/>
              <w:rPr>
                <w:rFonts w:ascii="宋体" w:hAnsi="宋体" w:cs="宋体"/>
                <w:bCs/>
                <w:sz w:val="20"/>
              </w:rPr>
            </w:pPr>
            <w:r>
              <w:rPr>
                <w:rFonts w:hint="eastAsia" w:ascii="宋体" w:hAnsi="宋体" w:cs="宋体"/>
                <w:bCs/>
                <w:sz w:val="20"/>
              </w:rPr>
              <w:t>1</w:t>
            </w:r>
          </w:p>
        </w:tc>
        <w:tc>
          <w:tcPr>
            <w:tcW w:w="1635"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465" w:type="dxa"/>
            <w:gridSpan w:val="5"/>
            <w:noWrap w:val="0"/>
            <w:vAlign w:val="center"/>
          </w:tcPr>
          <w:p>
            <w:pPr>
              <w:rPr>
                <w:rFonts w:ascii="宋体" w:hAnsi="宋体" w:cs="宋体"/>
                <w:bCs/>
                <w:sz w:val="20"/>
              </w:rPr>
            </w:pPr>
            <w:r>
              <w:rPr>
                <w:rFonts w:hint="eastAsia" w:ascii="宋体" w:hAnsi="宋体" w:cs="宋体"/>
                <w:bCs/>
                <w:sz w:val="20"/>
              </w:rPr>
              <w:t>《中国煤炭地质总局关于中化地质矿山总局福建地质勘查院闲置车位产权处置资产评估的批复》（中煤地办发财务〔2021〕39号）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sz w:val="20"/>
              </w:rPr>
            </w:pPr>
            <w:r>
              <w:rPr>
                <w:rFonts w:hint="eastAsia" w:ascii="宋体" w:hAnsi="宋体" w:cs="宋体"/>
                <w:bCs/>
                <w:sz w:val="20"/>
              </w:rPr>
              <w:t>2</w:t>
            </w:r>
          </w:p>
        </w:tc>
        <w:tc>
          <w:tcPr>
            <w:tcW w:w="1635"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465" w:type="dxa"/>
            <w:gridSpan w:val="5"/>
            <w:noWrap w:val="0"/>
            <w:vAlign w:val="center"/>
          </w:tcPr>
          <w:p>
            <w:pPr>
              <w:rPr>
                <w:rFonts w:ascii="宋体" w:hAnsi="宋体" w:cs="宋体"/>
                <w:bCs/>
                <w:sz w:val="20"/>
              </w:rPr>
            </w:pPr>
            <w:r>
              <w:rPr>
                <w:rFonts w:hint="eastAsia" w:ascii="宋体" w:hAnsi="宋体" w:cs="宋体"/>
                <w:bCs/>
                <w:sz w:val="20"/>
              </w:rPr>
              <w:t>总局资产财务部拟定比选通知并发放给总局评估机构备选库中具有资产评估资质的评估机构，对评估机构报送的评估方案进行审查，比选出符合要求的评估机构。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4"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635"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6465" w:type="dxa"/>
            <w:gridSpan w:val="5"/>
            <w:noWrap w:val="0"/>
            <w:vAlign w:val="center"/>
          </w:tcPr>
          <w:p>
            <w:pPr>
              <w:rPr>
                <w:rFonts w:ascii="宋体" w:hAnsi="宋体" w:cs="宋体"/>
                <w:bCs/>
                <w:sz w:val="20"/>
              </w:rPr>
            </w:pPr>
            <w:r>
              <w:rPr>
                <w:rFonts w:hint="eastAsia" w:ascii="宋体" w:hAnsi="宋体" w:cs="宋体"/>
                <w:bCs/>
                <w:sz w:val="20"/>
              </w:rPr>
              <w:t>北京仁达房地产评估有限公司：</w:t>
            </w:r>
          </w:p>
          <w:p>
            <w:pPr>
              <w:rPr>
                <w:rFonts w:ascii="宋体" w:hAnsi="宋体" w:cs="宋体"/>
                <w:bCs/>
                <w:sz w:val="20"/>
              </w:rPr>
            </w:pPr>
            <w:r>
              <w:rPr>
                <w:rFonts w:hint="eastAsia" w:ascii="宋体" w:hAnsi="宋体" w:cs="宋体"/>
                <w:bCs/>
                <w:sz w:val="20"/>
              </w:rPr>
              <w:t>评估师1：于  颖 注册号：</w:t>
            </w:r>
            <w:r>
              <w:rPr>
                <w:rFonts w:ascii="宋体" w:hAnsi="宋体" w:cs="宋体"/>
                <w:bCs/>
                <w:sz w:val="20"/>
              </w:rPr>
              <w:t>1220210008</w:t>
            </w:r>
          </w:p>
          <w:p>
            <w:pPr>
              <w:rPr>
                <w:rFonts w:ascii="宋体" w:hAnsi="宋体" w:cs="宋体"/>
                <w:bCs/>
                <w:sz w:val="20"/>
              </w:rPr>
            </w:pPr>
            <w:r>
              <w:rPr>
                <w:rFonts w:hint="eastAsia" w:ascii="宋体" w:hAnsi="宋体" w:cs="宋体"/>
                <w:bCs/>
                <w:sz w:val="20"/>
              </w:rPr>
              <w:t>评估师2：刘  悦 注册号：</w:t>
            </w:r>
            <w:r>
              <w:rPr>
                <w:rFonts w:ascii="宋体" w:hAnsi="宋体" w:cs="宋体"/>
                <w:bCs/>
                <w:sz w:val="20"/>
              </w:rPr>
              <w:t>1220200002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sz w:val="20"/>
              </w:rPr>
            </w:pPr>
            <w:r>
              <w:rPr>
                <w:rFonts w:hint="eastAsia" w:ascii="宋体" w:hAnsi="宋体" w:cs="宋体"/>
                <w:bCs/>
                <w:sz w:val="20"/>
              </w:rPr>
              <w:t>4</w:t>
            </w:r>
          </w:p>
        </w:tc>
        <w:tc>
          <w:tcPr>
            <w:tcW w:w="1635" w:type="dxa"/>
            <w:noWrap w:val="0"/>
            <w:vAlign w:val="center"/>
          </w:tcPr>
          <w:p>
            <w:pPr>
              <w:jc w:val="center"/>
              <w:rPr>
                <w:rFonts w:ascii="宋体" w:hAnsi="宋体" w:cs="宋体"/>
                <w:bCs/>
                <w:sz w:val="20"/>
              </w:rPr>
            </w:pPr>
            <w:r>
              <w:rPr>
                <w:rFonts w:hint="eastAsia" w:ascii="宋体" w:hAnsi="宋体" w:cs="宋体"/>
                <w:bCs/>
                <w:sz w:val="20"/>
              </w:rPr>
              <w:t>评估程序履行及独立第三方评估机构审核情况</w:t>
            </w:r>
          </w:p>
        </w:tc>
        <w:tc>
          <w:tcPr>
            <w:tcW w:w="6465" w:type="dxa"/>
            <w:gridSpan w:val="5"/>
            <w:noWrap w:val="0"/>
            <w:vAlign w:val="center"/>
          </w:tcPr>
          <w:p>
            <w:pPr>
              <w:widowControl/>
              <w:jc w:val="left"/>
              <w:rPr>
                <w:rFonts w:ascii="宋体" w:hAnsi="宋体" w:cs="宋体"/>
                <w:bCs/>
                <w:sz w:val="20"/>
              </w:rPr>
            </w:pPr>
            <w:r>
              <w:rPr>
                <w:rFonts w:hint="eastAsia" w:ascii="宋体" w:hAnsi="宋体" w:cs="宋体"/>
                <w:bCs/>
                <w:sz w:val="20"/>
              </w:rPr>
              <w:t>总局选聘北京仁达房地产土地资产评估有限公司对中化地质矿山总局福建地质勘查院闲置车位资产开展评估工作</w:t>
            </w:r>
            <w:r>
              <w:rPr>
                <w:rFonts w:hint="eastAsia" w:ascii="宋体" w:hAnsi="宋体" w:cs="宋体"/>
                <w:bCs/>
                <w:sz w:val="20"/>
                <w:lang w:eastAsia="zh-CN"/>
              </w:rPr>
              <w:t>，并对评估报告完成复核。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504" w:type="dxa"/>
            <w:noWrap w:val="0"/>
            <w:vAlign w:val="center"/>
          </w:tcPr>
          <w:p>
            <w:pPr>
              <w:widowControl/>
              <w:jc w:val="left"/>
              <w:rPr>
                <w:rFonts w:hint="eastAsia" w:ascii="宋体" w:hAnsi="宋体" w:cs="宋体"/>
                <w:bCs/>
                <w:sz w:val="20"/>
              </w:rPr>
            </w:pPr>
            <w:r>
              <w:rPr>
                <w:rFonts w:hint="eastAsia" w:ascii="宋体" w:hAnsi="宋体" w:cs="宋体"/>
                <w:bCs/>
                <w:sz w:val="20"/>
                <w:lang w:val="en-US" w:eastAsia="zh-CN"/>
              </w:rPr>
              <w:t xml:space="preserve"> </w:t>
            </w:r>
            <w:r>
              <w:rPr>
                <w:rFonts w:hint="eastAsia" w:ascii="宋体" w:hAnsi="宋体" w:cs="宋体"/>
                <w:bCs/>
                <w:sz w:val="20"/>
              </w:rPr>
              <w:t>5</w:t>
            </w:r>
          </w:p>
        </w:tc>
        <w:tc>
          <w:tcPr>
            <w:tcW w:w="1635" w:type="dxa"/>
            <w:noWrap w:val="0"/>
            <w:vAlign w:val="center"/>
          </w:tcPr>
          <w:p>
            <w:pPr>
              <w:widowControl/>
              <w:jc w:val="left"/>
              <w:rPr>
                <w:rFonts w:hint="eastAsia" w:ascii="宋体" w:hAnsi="宋体" w:cs="宋体"/>
                <w:bCs/>
                <w:sz w:val="20"/>
              </w:rPr>
            </w:pPr>
            <w:r>
              <w:rPr>
                <w:rFonts w:hint="eastAsia" w:ascii="宋体" w:hAnsi="宋体" w:cs="宋体"/>
                <w:bCs/>
                <w:sz w:val="20"/>
              </w:rPr>
              <w:t>评估报告摘要和特别事项说明</w:t>
            </w:r>
          </w:p>
        </w:tc>
        <w:tc>
          <w:tcPr>
            <w:tcW w:w="6465" w:type="dxa"/>
            <w:gridSpan w:val="5"/>
            <w:noWrap w:val="0"/>
            <w:vAlign w:val="center"/>
          </w:tcPr>
          <w:p>
            <w:pPr>
              <w:widowControl/>
              <w:jc w:val="left"/>
              <w:rPr>
                <w:rFonts w:ascii="宋体" w:hAnsi="宋体" w:cs="宋体"/>
                <w:bCs/>
                <w:sz w:val="20"/>
                <w:highlight w:val="yellow"/>
              </w:rPr>
            </w:pPr>
            <w:r>
              <w:rPr>
                <w:rFonts w:hint="eastAsia" w:ascii="宋体" w:hAnsi="宋体" w:cs="宋体"/>
                <w:bCs/>
                <w:sz w:val="20"/>
              </w:rPr>
              <w:t>北京仁达房地产评估有限公司接受中化地质矿山总局福建地质勘查院的委托，对福建省福州市晋安区象园街道长福路1号长福家园4#地上1层08车位、5#楼地下1层11车位等32个车位于价值时点2021年5月26日的市场价格开展评估，为确定该房地产市场价值提供参考依据。估价对象总建筑面积为1025.2平方米，证载用途为其它，实际用途为车位。根据《不动产权证书》【闽（2019）福州市不动产权第9046569号】等32个房产证，中化地质矿山总局福建地质勘查院以出让方式取得了估价对象的国有土地使用权，至价值时点，估价对象剩余土地使用年限为48.6年。估价对象位于福建省福州市晋安区象园街道长福路1号长福家园。本次评估采用比较法和收益法进行评估，经分析，选取两种方法的简单算术平均值作为估价对象评估结果，即比较法取权重为0.5，收益法取权重为0.5。在价值定义和估价假设限制条件下，福建省福州市晋安区象园街道长福路1号长福家园</w:t>
            </w:r>
            <w:r>
              <w:rPr>
                <w:rFonts w:hint="eastAsia" w:ascii="宋体" w:hAnsi="宋体" w:cs="宋体"/>
                <w:bCs/>
                <w:sz w:val="20"/>
                <w:lang w:val="en-US" w:eastAsia="zh-CN"/>
              </w:rPr>
              <w:t>3</w:t>
            </w:r>
            <w:r>
              <w:rPr>
                <w:rFonts w:hint="eastAsia" w:ascii="宋体" w:hAnsi="宋体" w:cs="宋体"/>
                <w:bCs/>
                <w:sz w:val="20"/>
              </w:rPr>
              <w:t>2个车位于评估基准日账面净值为</w:t>
            </w:r>
            <w:r>
              <w:rPr>
                <w:rFonts w:ascii="宋体" w:hAnsi="宋体" w:cs="宋体"/>
                <w:bCs/>
                <w:sz w:val="20"/>
              </w:rPr>
              <w:t>1</w:t>
            </w:r>
            <w:r>
              <w:rPr>
                <w:rFonts w:hint="eastAsia" w:ascii="宋体" w:hAnsi="宋体" w:cs="宋体"/>
                <w:bCs/>
                <w:sz w:val="20"/>
              </w:rPr>
              <w:t>,</w:t>
            </w:r>
            <w:r>
              <w:rPr>
                <w:rFonts w:ascii="宋体" w:hAnsi="宋体" w:cs="宋体"/>
                <w:bCs/>
                <w:sz w:val="20"/>
              </w:rPr>
              <w:t>983</w:t>
            </w:r>
            <w:r>
              <w:rPr>
                <w:rFonts w:hint="eastAsia" w:ascii="宋体" w:hAnsi="宋体" w:cs="宋体"/>
                <w:bCs/>
                <w:sz w:val="20"/>
              </w:rPr>
              <w:t>,</w:t>
            </w:r>
            <w:r>
              <w:rPr>
                <w:rFonts w:ascii="宋体" w:hAnsi="宋体" w:cs="宋体"/>
                <w:bCs/>
                <w:sz w:val="20"/>
              </w:rPr>
              <w:t>520</w:t>
            </w:r>
            <w:r>
              <w:rPr>
                <w:rFonts w:hint="eastAsia" w:ascii="宋体" w:hAnsi="宋体" w:cs="宋体"/>
                <w:bCs/>
                <w:sz w:val="20"/>
              </w:rPr>
              <w:t>元，评估值为</w:t>
            </w:r>
            <w:r>
              <w:rPr>
                <w:rFonts w:ascii="宋体" w:hAnsi="宋体" w:cs="宋体"/>
                <w:bCs/>
                <w:sz w:val="20"/>
              </w:rPr>
              <w:t>4</w:t>
            </w:r>
            <w:r>
              <w:rPr>
                <w:rFonts w:hint="eastAsia" w:ascii="宋体" w:hAnsi="宋体" w:cs="宋体"/>
                <w:bCs/>
                <w:sz w:val="20"/>
              </w:rPr>
              <w:t>,</w:t>
            </w:r>
            <w:r>
              <w:rPr>
                <w:rFonts w:ascii="宋体" w:hAnsi="宋体" w:cs="宋体"/>
                <w:bCs/>
                <w:sz w:val="20"/>
              </w:rPr>
              <w:t>977</w:t>
            </w:r>
            <w:r>
              <w:rPr>
                <w:rFonts w:hint="eastAsia" w:ascii="宋体" w:hAnsi="宋体" w:cs="宋体"/>
                <w:bCs/>
                <w:sz w:val="20"/>
              </w:rPr>
              <w:t>,</w:t>
            </w:r>
            <w:r>
              <w:rPr>
                <w:rFonts w:ascii="宋体" w:hAnsi="宋体" w:cs="宋体"/>
                <w:bCs/>
                <w:sz w:val="20"/>
              </w:rPr>
              <w:t>000</w:t>
            </w:r>
            <w:r>
              <w:rPr>
                <w:rFonts w:hint="eastAsia" w:ascii="宋体" w:hAnsi="宋体" w:cs="宋体"/>
                <w:bCs/>
                <w:sz w:val="20"/>
              </w:rPr>
              <w:t>元，资产增值为</w:t>
            </w:r>
            <w:r>
              <w:rPr>
                <w:rFonts w:ascii="宋体" w:hAnsi="宋体" w:cs="宋体"/>
                <w:bCs/>
                <w:sz w:val="20"/>
              </w:rPr>
              <w:t>2</w:t>
            </w:r>
            <w:r>
              <w:rPr>
                <w:rFonts w:hint="eastAsia" w:ascii="宋体" w:hAnsi="宋体" w:cs="宋体"/>
                <w:bCs/>
                <w:sz w:val="20"/>
              </w:rPr>
              <w:t>,</w:t>
            </w:r>
            <w:r>
              <w:rPr>
                <w:rFonts w:ascii="宋体" w:hAnsi="宋体" w:cs="宋体"/>
                <w:bCs/>
                <w:sz w:val="20"/>
              </w:rPr>
              <w:t>993</w:t>
            </w:r>
            <w:r>
              <w:rPr>
                <w:rFonts w:hint="eastAsia" w:ascii="宋体" w:hAnsi="宋体" w:cs="宋体"/>
                <w:bCs/>
                <w:sz w:val="20"/>
              </w:rPr>
              <w:t>,</w:t>
            </w:r>
            <w:r>
              <w:rPr>
                <w:rFonts w:ascii="宋体" w:hAnsi="宋体" w:cs="宋体"/>
                <w:bCs/>
                <w:sz w:val="20"/>
              </w:rPr>
              <w:t>480</w:t>
            </w:r>
            <w:r>
              <w:rPr>
                <w:rFonts w:hint="eastAsia" w:ascii="宋体" w:hAnsi="宋体" w:cs="宋体"/>
                <w:bCs/>
                <w:sz w:val="20"/>
              </w:rPr>
              <w:t>元，增值率为</w:t>
            </w:r>
            <w:r>
              <w:rPr>
                <w:rFonts w:ascii="宋体" w:hAnsi="宋体" w:cs="宋体"/>
                <w:bCs/>
                <w:sz w:val="20"/>
              </w:rPr>
              <w:t>151%</w:t>
            </w: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（单位：万元）</w:t>
            </w:r>
          </w:p>
        </w:tc>
        <w:tc>
          <w:tcPr>
            <w:tcW w:w="1295" w:type="dxa"/>
            <w:noWrap w:val="0"/>
            <w:vAlign w:val="center"/>
          </w:tcPr>
          <w:p>
            <w:pPr>
              <w:jc w:val="center"/>
              <w:rPr>
                <w:rFonts w:ascii="宋体" w:hAnsi="宋体" w:cs="宋体"/>
                <w:bCs/>
                <w:sz w:val="20"/>
              </w:rPr>
            </w:pPr>
            <w:r>
              <w:rPr>
                <w:rFonts w:hint="eastAsia" w:ascii="宋体" w:hAnsi="宋体" w:cs="宋体"/>
                <w:bCs/>
                <w:sz w:val="20"/>
              </w:rPr>
              <w:t>项  目</w:t>
            </w:r>
          </w:p>
        </w:tc>
        <w:tc>
          <w:tcPr>
            <w:tcW w:w="1210" w:type="dxa"/>
            <w:noWrap w:val="0"/>
            <w:vAlign w:val="center"/>
          </w:tcPr>
          <w:p>
            <w:pPr>
              <w:jc w:val="center"/>
              <w:rPr>
                <w:rFonts w:ascii="宋体" w:hAnsi="宋体" w:cs="宋体"/>
                <w:bCs/>
                <w:sz w:val="20"/>
              </w:rPr>
            </w:pPr>
            <w:r>
              <w:rPr>
                <w:rFonts w:hint="eastAsia" w:ascii="宋体" w:hAnsi="宋体" w:cs="宋体"/>
                <w:bCs/>
                <w:sz w:val="20"/>
              </w:rPr>
              <w:t>账面价值</w:t>
            </w:r>
          </w:p>
        </w:tc>
        <w:tc>
          <w:tcPr>
            <w:tcW w:w="1260" w:type="dxa"/>
            <w:noWrap w:val="0"/>
            <w:vAlign w:val="center"/>
          </w:tcPr>
          <w:p>
            <w:pPr>
              <w:jc w:val="center"/>
              <w:rPr>
                <w:rFonts w:ascii="宋体" w:hAnsi="宋体" w:cs="宋体"/>
                <w:bCs/>
                <w:sz w:val="20"/>
              </w:rPr>
            </w:pPr>
            <w:r>
              <w:rPr>
                <w:rFonts w:hint="eastAsia" w:ascii="宋体" w:hAnsi="宋体" w:cs="宋体"/>
                <w:bCs/>
                <w:sz w:val="20"/>
              </w:rPr>
              <w:t>评估值</w:t>
            </w:r>
          </w:p>
        </w:tc>
        <w:tc>
          <w:tcPr>
            <w:tcW w:w="1230" w:type="dxa"/>
            <w:noWrap w:val="0"/>
            <w:vAlign w:val="center"/>
          </w:tcPr>
          <w:p>
            <w:pPr>
              <w:jc w:val="center"/>
              <w:rPr>
                <w:rFonts w:ascii="宋体" w:hAnsi="宋体" w:cs="宋体"/>
                <w:bCs/>
                <w:sz w:val="20"/>
              </w:rPr>
            </w:pPr>
            <w:r>
              <w:rPr>
                <w:rFonts w:hint="eastAsia" w:ascii="宋体" w:hAnsi="宋体" w:cs="宋体"/>
                <w:bCs/>
                <w:sz w:val="20"/>
              </w:rPr>
              <w:t>增值额</w:t>
            </w:r>
          </w:p>
        </w:tc>
        <w:tc>
          <w:tcPr>
            <w:tcW w:w="1470"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ascii="宋体" w:hAnsi="宋体" w:cs="宋体"/>
                <w:bCs/>
                <w:sz w:val="20"/>
              </w:rPr>
            </w:pPr>
            <w:r>
              <w:rPr>
                <w:rFonts w:hint="eastAsia" w:ascii="宋体" w:hAnsi="宋体" w:cs="宋体"/>
                <w:bCs/>
                <w:sz w:val="20"/>
              </w:rPr>
              <w:t>资产总额</w:t>
            </w:r>
          </w:p>
        </w:tc>
        <w:tc>
          <w:tcPr>
            <w:tcW w:w="1210" w:type="dxa"/>
            <w:noWrap w:val="0"/>
            <w:vAlign w:val="center"/>
          </w:tcPr>
          <w:p>
            <w:pPr>
              <w:widowControl/>
              <w:jc w:val="center"/>
              <w:rPr>
                <w:rFonts w:ascii="宋体" w:hAnsi="宋体" w:cs="宋体"/>
                <w:bCs/>
                <w:sz w:val="20"/>
              </w:rPr>
            </w:pPr>
            <w:r>
              <w:rPr>
                <w:rFonts w:hint="eastAsia" w:ascii="宋体" w:hAnsi="宋体" w:cs="宋体"/>
                <w:bCs/>
                <w:sz w:val="20"/>
              </w:rPr>
              <w:t>198.35</w:t>
            </w:r>
          </w:p>
        </w:tc>
        <w:tc>
          <w:tcPr>
            <w:tcW w:w="1260" w:type="dxa"/>
            <w:noWrap w:val="0"/>
            <w:vAlign w:val="center"/>
          </w:tcPr>
          <w:p>
            <w:pPr>
              <w:widowControl/>
              <w:jc w:val="center"/>
              <w:rPr>
                <w:rFonts w:ascii="宋体" w:hAnsi="宋体" w:cs="宋体"/>
                <w:bCs/>
                <w:sz w:val="20"/>
              </w:rPr>
            </w:pPr>
            <w:r>
              <w:rPr>
                <w:rFonts w:hint="eastAsia" w:ascii="宋体" w:hAnsi="宋体" w:cs="宋体"/>
                <w:bCs/>
                <w:sz w:val="20"/>
              </w:rPr>
              <w:t>497.7</w:t>
            </w:r>
          </w:p>
        </w:tc>
        <w:tc>
          <w:tcPr>
            <w:tcW w:w="1230" w:type="dxa"/>
            <w:noWrap w:val="0"/>
            <w:vAlign w:val="center"/>
          </w:tcPr>
          <w:p>
            <w:pPr>
              <w:widowControl/>
              <w:jc w:val="center"/>
              <w:rPr>
                <w:rFonts w:ascii="宋体" w:hAnsi="宋体" w:cs="宋体"/>
                <w:bCs/>
                <w:sz w:val="20"/>
                <w:szCs w:val="22"/>
              </w:rPr>
            </w:pPr>
            <w:r>
              <w:rPr>
                <w:rFonts w:hint="eastAsia" w:ascii="宋体" w:hAnsi="宋体" w:cs="宋体"/>
                <w:bCs/>
                <w:sz w:val="20"/>
                <w:szCs w:val="22"/>
              </w:rPr>
              <w:t>299.35</w:t>
            </w:r>
          </w:p>
        </w:tc>
        <w:tc>
          <w:tcPr>
            <w:tcW w:w="1470" w:type="dxa"/>
            <w:noWrap w:val="0"/>
            <w:vAlign w:val="center"/>
          </w:tcPr>
          <w:p>
            <w:pPr>
              <w:widowControl/>
              <w:jc w:val="center"/>
              <w:rPr>
                <w:rFonts w:ascii="宋体" w:hAnsi="宋体" w:cs="宋体"/>
                <w:bCs/>
                <w:sz w:val="20"/>
              </w:rPr>
            </w:pPr>
            <w:r>
              <w:rPr>
                <w:rFonts w:hint="eastAsia" w:ascii="宋体" w:hAnsi="宋体" w:cs="宋体"/>
                <w:bCs/>
                <w:sz w:val="20"/>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04" w:type="dxa"/>
            <w:noWrap w:val="0"/>
            <w:vAlign w:val="center"/>
          </w:tcPr>
          <w:p>
            <w:pPr>
              <w:jc w:val="center"/>
              <w:rPr>
                <w:rFonts w:ascii="宋体" w:hAnsi="宋体" w:cs="宋体"/>
                <w:bCs/>
                <w:sz w:val="20"/>
              </w:rPr>
            </w:pPr>
            <w:r>
              <w:rPr>
                <w:rFonts w:hint="eastAsia" w:ascii="宋体" w:hAnsi="宋体" w:cs="宋体"/>
                <w:bCs/>
                <w:sz w:val="20"/>
              </w:rPr>
              <w:t>7</w:t>
            </w:r>
          </w:p>
        </w:tc>
        <w:tc>
          <w:tcPr>
            <w:tcW w:w="1635"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465" w:type="dxa"/>
            <w:gridSpan w:val="5"/>
            <w:noWrap w:val="0"/>
            <w:vAlign w:val="center"/>
          </w:tcPr>
          <w:p>
            <w:pPr>
              <w:jc w:val="left"/>
              <w:rPr>
                <w:rFonts w:ascii="宋体" w:hAnsi="宋体" w:cs="宋体"/>
                <w:bCs/>
                <w:sz w:val="20"/>
              </w:rPr>
            </w:pPr>
            <w:r>
              <w:rPr>
                <w:rFonts w:hint="eastAsia" w:ascii="宋体" w:hAnsi="宋体" w:cs="宋体"/>
                <w:bCs/>
                <w:sz w:val="20"/>
              </w:rPr>
              <w:t>评估批复、比选评估机构方案、评估报告初稿及审核意见等纸质及电子资料在</w:t>
            </w:r>
            <w:r>
              <w:rPr>
                <w:rFonts w:hint="eastAsia" w:ascii="宋体" w:hAnsi="宋体" w:cs="宋体"/>
                <w:bCs/>
                <w:sz w:val="20"/>
                <w:lang w:eastAsia="zh-CN"/>
              </w:rPr>
              <w:t>总局</w:t>
            </w:r>
            <w:r>
              <w:rPr>
                <w:rFonts w:hint="eastAsia" w:ascii="宋体" w:hAnsi="宋体" w:cs="宋体"/>
                <w:bCs/>
                <w:sz w:val="20"/>
              </w:rPr>
              <w:t>资产财务部资产管理处。</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10B1B"/>
    <w:rsid w:val="4DC1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2021-07-13T13:22:00Z</dcterms:created>
  <dc:creator>Administrator</dc:creator>
  <cp:lastModifiedBy>Administrator</cp:lastModifiedBy>
  <dcterms:modified xsi:type="dcterms:W3CDTF">2021-07-13T13:22:58Z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B44E32C36FDF4F6CA8725075EAD4F000</vt:lpwstr>
  </property>
</Properties>
</file>