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Cs/>
          <w:sz w:val="20"/>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 xml:space="preserve">       </w:t>
      </w:r>
      <w:r>
        <w:rPr>
          <w:rFonts w:hint="eastAsia" w:ascii="黑体" w:hAnsi="黑体" w:eastAsia="黑体" w:cs="黑体"/>
          <w:bCs/>
          <w:sz w:val="30"/>
          <w:szCs w:val="30"/>
        </w:rPr>
        <w:t>中国</w:t>
      </w:r>
      <w:bookmarkStart w:id="1" w:name="_GoBack"/>
      <w:bookmarkEnd w:id="1"/>
      <w:r>
        <w:rPr>
          <w:rFonts w:hint="eastAsia" w:ascii="黑体" w:hAnsi="黑体" w:eastAsia="黑体" w:cs="黑体"/>
          <w:bCs/>
          <w:sz w:val="30"/>
          <w:szCs w:val="30"/>
        </w:rPr>
        <w:t>煤炭地质总局资产评估项目公示表</w:t>
      </w:r>
    </w:p>
    <w:p>
      <w:pPr>
        <w:rPr>
          <w:rFonts w:hint="eastAsia" w:ascii="宋体" w:hAnsi="宋体" w:cs="宋体"/>
          <w:bCs/>
          <w:sz w:val="20"/>
        </w:rPr>
      </w:pPr>
      <w:r>
        <w:rPr>
          <w:rFonts w:hint="eastAsia" w:ascii="宋体" w:hAnsi="宋体" w:cs="宋体"/>
          <w:bCs/>
          <w:sz w:val="20"/>
        </w:rPr>
        <w:t>评估项目：杭州华辰旅业集团有限公司华辰银座酒店部分土地</w:t>
      </w:r>
      <w:r>
        <w:rPr>
          <w:rFonts w:hint="eastAsia" w:ascii="宋体" w:hAnsi="宋体" w:cs="宋体"/>
          <w:bCs/>
          <w:sz w:val="20"/>
          <w:lang w:eastAsia="zh-CN"/>
        </w:rPr>
        <w:t>及</w:t>
      </w:r>
      <w:r>
        <w:rPr>
          <w:rFonts w:hint="eastAsia" w:ascii="宋体" w:hAnsi="宋体" w:cs="宋体"/>
          <w:bCs/>
          <w:sz w:val="20"/>
        </w:rPr>
        <w:t>地上</w:t>
      </w:r>
      <w:r>
        <w:rPr>
          <w:rFonts w:hint="eastAsia" w:ascii="宋体" w:hAnsi="宋体" w:cs="宋体"/>
          <w:bCs/>
          <w:sz w:val="20"/>
          <w:lang w:eastAsia="zh-CN"/>
        </w:rPr>
        <w:t>附着物</w:t>
      </w:r>
      <w:r>
        <w:rPr>
          <w:rFonts w:hint="eastAsia" w:ascii="宋体" w:hAnsi="宋体" w:cs="宋体"/>
          <w:bCs/>
          <w:sz w:val="20"/>
        </w:rPr>
        <w:t>市场价值评估</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8</w:t>
      </w:r>
      <w:r>
        <w:rPr>
          <w:rFonts w:hint="eastAsia" w:ascii="宋体" w:hAnsi="宋体" w:cs="宋体"/>
          <w:bCs/>
          <w:sz w:val="20"/>
        </w:rPr>
        <w:t>月</w:t>
      </w:r>
      <w:r>
        <w:rPr>
          <w:rFonts w:hint="eastAsia" w:ascii="宋体" w:hAnsi="宋体" w:cs="宋体"/>
          <w:bCs/>
          <w:sz w:val="20"/>
          <w:lang w:val="en-US" w:eastAsia="zh-CN"/>
        </w:rPr>
        <w:t>31</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9</w:t>
      </w:r>
      <w:r>
        <w:rPr>
          <w:rFonts w:hint="eastAsia" w:ascii="宋体" w:hAnsi="宋体" w:cs="宋体"/>
          <w:bCs/>
          <w:sz w:val="20"/>
        </w:rPr>
        <w:t>月</w:t>
      </w:r>
      <w:r>
        <w:rPr>
          <w:rFonts w:hint="eastAsia" w:ascii="宋体" w:hAnsi="宋体" w:cs="宋体"/>
          <w:bCs/>
          <w:sz w:val="20"/>
          <w:lang w:val="en-US" w:eastAsia="zh-CN"/>
        </w:rPr>
        <w:t>6</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670"/>
        <w:gridCol w:w="1322"/>
        <w:gridCol w:w="1236"/>
        <w:gridCol w:w="1287"/>
        <w:gridCol w:w="125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4" w:type="dxa"/>
            <w:noWrap w:val="0"/>
            <w:vAlign w:val="center"/>
          </w:tcPr>
          <w:p>
            <w:pPr>
              <w:jc w:val="center"/>
              <w:rPr>
                <w:rFonts w:ascii="宋体" w:hAnsi="宋体" w:cs="宋体"/>
                <w:bCs/>
                <w:sz w:val="20"/>
              </w:rPr>
            </w:pPr>
            <w:r>
              <w:rPr>
                <w:rFonts w:hint="eastAsia" w:ascii="宋体" w:hAnsi="宋体" w:cs="宋体"/>
                <w:bCs/>
                <w:sz w:val="20"/>
              </w:rPr>
              <w:t>序号</w:t>
            </w:r>
          </w:p>
        </w:tc>
        <w:tc>
          <w:tcPr>
            <w:tcW w:w="1670" w:type="dxa"/>
            <w:noWrap w:val="0"/>
            <w:vAlign w:val="center"/>
          </w:tcPr>
          <w:p>
            <w:pPr>
              <w:jc w:val="center"/>
              <w:rPr>
                <w:rFonts w:ascii="宋体" w:hAnsi="宋体" w:cs="宋体"/>
                <w:bCs/>
                <w:sz w:val="20"/>
              </w:rPr>
            </w:pPr>
            <w:r>
              <w:rPr>
                <w:rFonts w:hint="eastAsia" w:ascii="宋体" w:hAnsi="宋体" w:cs="宋体"/>
                <w:bCs/>
                <w:sz w:val="20"/>
              </w:rPr>
              <w:t>公示项目</w:t>
            </w:r>
          </w:p>
        </w:tc>
        <w:tc>
          <w:tcPr>
            <w:tcW w:w="6516"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4" w:type="dxa"/>
            <w:noWrap w:val="0"/>
            <w:vAlign w:val="center"/>
          </w:tcPr>
          <w:p>
            <w:pPr>
              <w:jc w:val="center"/>
              <w:rPr>
                <w:rFonts w:ascii="宋体" w:hAnsi="宋体" w:cs="宋体"/>
                <w:bCs/>
                <w:sz w:val="20"/>
              </w:rPr>
            </w:pPr>
            <w:r>
              <w:rPr>
                <w:rFonts w:hint="eastAsia" w:ascii="宋体" w:hAnsi="宋体" w:cs="宋体"/>
                <w:bCs/>
                <w:sz w:val="20"/>
              </w:rPr>
              <w:t>1</w:t>
            </w:r>
          </w:p>
        </w:tc>
        <w:tc>
          <w:tcPr>
            <w:tcW w:w="1670"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516"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经浙江局（中煤浙江）2020年第10次党委会前置研究，经2020年第11次局长（总经理）办公会审议决定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14" w:type="dxa"/>
            <w:noWrap w:val="0"/>
            <w:vAlign w:val="center"/>
          </w:tcPr>
          <w:p>
            <w:pPr>
              <w:jc w:val="center"/>
              <w:rPr>
                <w:rFonts w:ascii="宋体" w:hAnsi="宋体" w:cs="宋体"/>
                <w:bCs/>
                <w:sz w:val="20"/>
              </w:rPr>
            </w:pPr>
            <w:r>
              <w:rPr>
                <w:rFonts w:hint="eastAsia" w:ascii="宋体" w:hAnsi="宋体" w:cs="宋体"/>
                <w:bCs/>
                <w:sz w:val="20"/>
              </w:rPr>
              <w:t>2</w:t>
            </w:r>
          </w:p>
        </w:tc>
        <w:tc>
          <w:tcPr>
            <w:tcW w:w="1670"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516" w:type="dxa"/>
            <w:gridSpan w:val="5"/>
            <w:noWrap w:val="0"/>
            <w:vAlign w:val="center"/>
          </w:tcPr>
          <w:p>
            <w:pPr>
              <w:rPr>
                <w:rFonts w:ascii="宋体" w:hAnsi="宋体" w:cs="宋体"/>
                <w:bCs/>
                <w:color w:val="auto"/>
                <w:sz w:val="20"/>
              </w:rPr>
            </w:pPr>
            <w:r>
              <w:rPr>
                <w:rFonts w:hint="eastAsia" w:ascii="宋体" w:hAnsi="宋体" w:cs="宋体"/>
                <w:bCs/>
                <w:sz w:val="20"/>
              </w:rPr>
              <w:t>总局资产财务部拟定比选通知并发放给总局评估机构备选库中具有资产评估资质的评估机构，并组织相关部门召开评估机构比选会议，对评估机构报送的评估方案进行审查，比选出符合要求的评估机构。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4" w:type="dxa"/>
            <w:noWrap w:val="0"/>
            <w:vAlign w:val="center"/>
          </w:tcPr>
          <w:p>
            <w:pPr>
              <w:jc w:val="center"/>
              <w:rPr>
                <w:rFonts w:ascii="宋体" w:hAnsi="宋体" w:cs="宋体"/>
                <w:bCs/>
                <w:sz w:val="20"/>
              </w:rPr>
            </w:pPr>
            <w:r>
              <w:rPr>
                <w:rFonts w:hint="eastAsia" w:ascii="宋体" w:hAnsi="宋体" w:cs="宋体"/>
                <w:bCs/>
                <w:sz w:val="20"/>
              </w:rPr>
              <w:t>3</w:t>
            </w:r>
          </w:p>
        </w:tc>
        <w:tc>
          <w:tcPr>
            <w:tcW w:w="1670"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516"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sz w:val="20"/>
                <w:szCs w:val="22"/>
              </w:rPr>
              <w:t>北京仁达房地产土地资产评估有限公司</w:t>
            </w:r>
            <w:r>
              <w:rPr>
                <w:rFonts w:hint="eastAsia" w:ascii="宋体" w:hAnsi="宋体" w:cs="宋体"/>
                <w:bCs/>
                <w:sz w:val="20"/>
                <w:szCs w:val="22"/>
                <w:lang w:val="en-US" w:eastAsia="zh-CN"/>
              </w:rPr>
              <w:t xml:space="preserve"> 刘悦（资产评估师</w:t>
            </w:r>
            <w:r>
              <w:rPr>
                <w:rFonts w:hint="eastAsia" w:ascii="宋体" w:hAnsi="宋体" w:cs="宋体"/>
                <w:bCs/>
                <w:sz w:val="20"/>
                <w:szCs w:val="22"/>
              </w:rPr>
              <w:t>1220200002</w:t>
            </w:r>
            <w:r>
              <w:rPr>
                <w:rFonts w:hint="eastAsia" w:ascii="宋体" w:hAnsi="宋体" w:cs="宋体"/>
                <w:bCs/>
                <w:sz w:val="20"/>
                <w:szCs w:val="22"/>
                <w:lang w:val="en-US" w:eastAsia="zh-CN"/>
              </w:rPr>
              <w:t>） 刘芮（资产评估师</w:t>
            </w:r>
            <w:r>
              <w:rPr>
                <w:rFonts w:hint="eastAsia" w:ascii="宋体" w:hAnsi="宋体" w:cs="宋体"/>
                <w:bCs/>
                <w:sz w:val="20"/>
                <w:szCs w:val="22"/>
              </w:rPr>
              <w:t>1220200001</w:t>
            </w:r>
            <w:r>
              <w:rPr>
                <w:rFonts w:hint="eastAsia" w:ascii="宋体" w:hAnsi="宋体" w:cs="宋体"/>
                <w:bCs/>
                <w:sz w:val="2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14" w:type="dxa"/>
            <w:noWrap w:val="0"/>
            <w:vAlign w:val="center"/>
          </w:tcPr>
          <w:p>
            <w:pPr>
              <w:jc w:val="center"/>
              <w:rPr>
                <w:rFonts w:ascii="宋体" w:hAnsi="宋体" w:cs="宋体"/>
                <w:bCs/>
                <w:sz w:val="20"/>
              </w:rPr>
            </w:pPr>
            <w:r>
              <w:rPr>
                <w:rFonts w:hint="eastAsia" w:ascii="宋体" w:hAnsi="宋体" w:cs="宋体"/>
                <w:bCs/>
                <w:sz w:val="20"/>
              </w:rPr>
              <w:t>4</w:t>
            </w:r>
          </w:p>
        </w:tc>
        <w:tc>
          <w:tcPr>
            <w:tcW w:w="1670"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评估程序履行及独立第三方评估机构审核情况</w:t>
            </w:r>
          </w:p>
        </w:tc>
        <w:tc>
          <w:tcPr>
            <w:tcW w:w="6516" w:type="dxa"/>
            <w:gridSpan w:val="5"/>
            <w:noWrap w:val="0"/>
            <w:vAlign w:val="center"/>
          </w:tcPr>
          <w:p>
            <w:pPr>
              <w:jc w:val="left"/>
              <w:rPr>
                <w:rFonts w:ascii="宋体" w:hAnsi="宋体" w:cs="宋体"/>
                <w:bCs/>
                <w:color w:val="auto"/>
                <w:sz w:val="20"/>
              </w:rPr>
            </w:pPr>
            <w:r>
              <w:rPr>
                <w:rFonts w:hint="eastAsia" w:ascii="宋体" w:hAnsi="宋体" w:cs="宋体"/>
                <w:bCs/>
                <w:color w:val="auto"/>
                <w:sz w:val="20"/>
                <w:szCs w:val="22"/>
                <w:lang w:val="en-US" w:eastAsia="zh-CN"/>
              </w:rPr>
              <w:t>杭州华辰旅业集团有限公司银座酒店</w:t>
            </w:r>
            <w:r>
              <w:rPr>
                <w:rFonts w:hint="eastAsia" w:ascii="宋体" w:hAnsi="宋体" w:cs="宋体"/>
                <w:bCs/>
                <w:color w:val="auto"/>
                <w:sz w:val="20"/>
                <w:lang w:eastAsia="zh-CN"/>
              </w:rPr>
              <w:t>委托</w:t>
            </w:r>
            <w:r>
              <w:rPr>
                <w:rFonts w:hint="eastAsia" w:ascii="宋体" w:hAnsi="宋体" w:cs="宋体"/>
                <w:bCs/>
                <w:color w:val="auto"/>
                <w:sz w:val="20"/>
                <w:lang w:val="en-US" w:eastAsia="zh-CN"/>
              </w:rPr>
              <w:t>北京仁达房地产土地资产评估有限公司对杭州华辰旅业集团有限公司银座酒店位于新塘路342号部分土地及地面附着物</w:t>
            </w:r>
            <w:r>
              <w:rPr>
                <w:rFonts w:hint="eastAsia" w:ascii="宋体" w:hAnsi="宋体" w:cs="宋体"/>
                <w:bCs/>
                <w:color w:val="auto"/>
                <w:sz w:val="20"/>
              </w:rPr>
              <w:t>开展评估工作，</w:t>
            </w:r>
            <w:r>
              <w:rPr>
                <w:rFonts w:hint="eastAsia" w:ascii="宋体" w:hAnsi="宋体" w:cs="宋体"/>
                <w:bCs/>
                <w:color w:val="auto"/>
                <w:sz w:val="20"/>
                <w:lang w:eastAsia="zh-CN"/>
              </w:rPr>
              <w:t>总局</w:t>
            </w:r>
            <w:r>
              <w:rPr>
                <w:rFonts w:hint="eastAsia" w:ascii="宋体" w:hAnsi="宋体" w:cs="宋体"/>
                <w:bCs/>
                <w:color w:val="auto"/>
                <w:sz w:val="20"/>
              </w:rPr>
              <w:t>委托</w:t>
            </w:r>
            <w:r>
              <w:rPr>
                <w:rFonts w:hint="eastAsia" w:ascii="宋体" w:hAnsi="宋体" w:cs="宋体"/>
                <w:bCs/>
                <w:color w:val="auto"/>
                <w:sz w:val="20"/>
                <w:lang w:eastAsia="zh-CN"/>
              </w:rPr>
              <w:t>第三方机构</w:t>
            </w:r>
            <w:r>
              <w:rPr>
                <w:rFonts w:hint="eastAsia" w:ascii="宋体" w:hAnsi="宋体" w:cs="宋体"/>
                <w:bCs/>
                <w:color w:val="auto"/>
                <w:sz w:val="20"/>
              </w:rPr>
              <w:t>对评估报告初稿进行了审核并出具了审核意见，评估公司针对审核意见进行了修订完善。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9" w:hRule="atLeast"/>
        </w:trPr>
        <w:tc>
          <w:tcPr>
            <w:tcW w:w="514" w:type="dxa"/>
            <w:noWrap w:val="0"/>
            <w:vAlign w:val="center"/>
          </w:tcPr>
          <w:p>
            <w:pPr>
              <w:jc w:val="center"/>
              <w:rPr>
                <w:rFonts w:ascii="宋体" w:hAnsi="宋体" w:cs="宋体"/>
                <w:bCs/>
                <w:sz w:val="20"/>
              </w:rPr>
            </w:pPr>
            <w:r>
              <w:rPr>
                <w:rFonts w:hint="eastAsia" w:ascii="宋体" w:hAnsi="宋体" w:cs="宋体"/>
                <w:bCs/>
                <w:sz w:val="20"/>
              </w:rPr>
              <w:t>5</w:t>
            </w:r>
          </w:p>
        </w:tc>
        <w:tc>
          <w:tcPr>
            <w:tcW w:w="1670"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516" w:type="dxa"/>
            <w:gridSpan w:val="5"/>
            <w:noWrap w:val="0"/>
            <w:vAlign w:val="center"/>
          </w:tcPr>
          <w:p>
            <w:pPr>
              <w:jc w:val="left"/>
              <w:rPr>
                <w:rFonts w:hint="default" w:ascii="宋体" w:hAnsi="宋体" w:eastAsia="宋体" w:cs="宋体"/>
                <w:bCs/>
                <w:color w:val="auto"/>
                <w:sz w:val="20"/>
                <w:lang w:val="en-US" w:eastAsia="zh-CN"/>
              </w:rPr>
            </w:pPr>
            <w:r>
              <w:rPr>
                <w:rFonts w:hint="eastAsia" w:ascii="宋体" w:hAnsi="宋体" w:cs="宋体"/>
                <w:bCs/>
                <w:color w:val="auto"/>
                <w:sz w:val="20"/>
                <w:szCs w:val="22"/>
                <w:lang w:val="en-US" w:eastAsia="zh-CN"/>
              </w:rPr>
              <w:t>北京仁达房地产土地资产评估有限公司接受杭州华辰旅业集团有限公司银座酒店的委托，对杭州华辰旅业集团有限公司银座酒店部分土地及地面附着物开展评估。估价对象为杭州华辰旅业集团有限公司所属的位于</w:t>
            </w:r>
            <w:bookmarkStart w:id="0" w:name="_Hlk74076753"/>
            <w:r>
              <w:rPr>
                <w:rFonts w:hint="eastAsia" w:ascii="宋体" w:hAnsi="宋体" w:cs="宋体"/>
                <w:bCs/>
                <w:color w:val="auto"/>
                <w:sz w:val="20"/>
                <w:szCs w:val="22"/>
                <w:lang w:val="en-US" w:eastAsia="zh-CN"/>
              </w:rPr>
              <w:t>浙江省杭州市</w:t>
            </w:r>
            <w:bookmarkEnd w:id="0"/>
            <w:r>
              <w:rPr>
                <w:rFonts w:hint="eastAsia" w:ascii="宋体" w:hAnsi="宋体" w:cs="宋体"/>
                <w:bCs/>
                <w:color w:val="auto"/>
                <w:sz w:val="20"/>
                <w:szCs w:val="22"/>
                <w:lang w:val="en-US" w:eastAsia="zh-CN"/>
              </w:rPr>
              <w:t>江干区新塘路342号华辰银座酒店部分土地、地上构筑物及树木、草地，其中，土地使用权918平方米；构筑物包括有：室外花岗岩道路726.63平方米、砖围墙21.6平方米、砖围墙贴面59.4平方米、车棚66平方米及附房9.9平方米；树木20棵及草地58.77平方米。土地用途为旅馆用地。本次评估中，估价人员在认真分析所掌握的资料并进行了实地查勘后采用了比较法、假设开发法作为本次评估的基本方法。评估过程经过前期工作、现场调查及收集整理评估资料工作、评定估算工作、汇总分析撰写报告工作。北京仁达房地产土地资产评估有限公司本着独立、客观、公正、的原则及必要的评估程序，对所征用的土地及地面附着物进行评估，得出评估结论如下：土地使用权面积918平方米，构筑物面积包括有室外花岗岩道路726.63平方米、砖围墙21.6平方米、砖围墙贴面59.4平方米、车棚66平方米、附房9.9平方米、树木共计20棵、草地占地面积58.77平方米。房地产总价值：1973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70"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322"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36"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87"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56"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415"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4" w:type="dxa"/>
            <w:vMerge w:val="continue"/>
            <w:noWrap w:val="0"/>
            <w:vAlign w:val="center"/>
          </w:tcPr>
          <w:p>
            <w:pPr>
              <w:jc w:val="center"/>
              <w:rPr>
                <w:rFonts w:ascii="宋体" w:hAnsi="宋体" w:cs="宋体"/>
                <w:bCs/>
                <w:sz w:val="20"/>
              </w:rPr>
            </w:pPr>
          </w:p>
        </w:tc>
        <w:tc>
          <w:tcPr>
            <w:tcW w:w="1670" w:type="dxa"/>
            <w:vMerge w:val="continue"/>
            <w:noWrap w:val="0"/>
            <w:vAlign w:val="center"/>
          </w:tcPr>
          <w:p>
            <w:pPr>
              <w:jc w:val="center"/>
              <w:rPr>
                <w:rFonts w:ascii="宋体" w:hAnsi="宋体" w:cs="宋体"/>
                <w:bCs/>
                <w:color w:val="auto"/>
                <w:sz w:val="20"/>
              </w:rPr>
            </w:pPr>
          </w:p>
        </w:tc>
        <w:tc>
          <w:tcPr>
            <w:tcW w:w="1322"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3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23.5</w:t>
            </w:r>
          </w:p>
        </w:tc>
        <w:tc>
          <w:tcPr>
            <w:tcW w:w="1287"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1973</w:t>
            </w:r>
          </w:p>
        </w:tc>
        <w:tc>
          <w:tcPr>
            <w:tcW w:w="125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1949.5</w:t>
            </w:r>
          </w:p>
        </w:tc>
        <w:tc>
          <w:tcPr>
            <w:tcW w:w="1415"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8295.7%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4" w:type="dxa"/>
            <w:vMerge w:val="continue"/>
            <w:noWrap w:val="0"/>
            <w:vAlign w:val="center"/>
          </w:tcPr>
          <w:p>
            <w:pPr>
              <w:jc w:val="center"/>
              <w:rPr>
                <w:rFonts w:ascii="宋体" w:hAnsi="宋体" w:cs="宋体"/>
                <w:bCs/>
                <w:sz w:val="20"/>
              </w:rPr>
            </w:pPr>
          </w:p>
        </w:tc>
        <w:tc>
          <w:tcPr>
            <w:tcW w:w="1670" w:type="dxa"/>
            <w:vMerge w:val="continue"/>
            <w:noWrap w:val="0"/>
            <w:vAlign w:val="center"/>
          </w:tcPr>
          <w:p>
            <w:pPr>
              <w:jc w:val="center"/>
              <w:rPr>
                <w:rFonts w:ascii="宋体" w:hAnsi="宋体" w:cs="宋体"/>
                <w:bCs/>
                <w:color w:val="auto"/>
                <w:sz w:val="20"/>
              </w:rPr>
            </w:pPr>
          </w:p>
        </w:tc>
        <w:tc>
          <w:tcPr>
            <w:tcW w:w="1322"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36" w:type="dxa"/>
            <w:noWrap w:val="0"/>
            <w:vAlign w:val="center"/>
          </w:tcPr>
          <w:p>
            <w:pPr>
              <w:widowControl/>
              <w:jc w:val="center"/>
              <w:rPr>
                <w:rFonts w:hint="default" w:ascii="宋体" w:hAnsi="宋体" w:eastAsia="宋体" w:cs="宋体"/>
                <w:bCs/>
                <w:color w:val="auto"/>
                <w:sz w:val="20"/>
                <w:lang w:val="en-US" w:eastAsia="zh-CN"/>
              </w:rPr>
            </w:pPr>
          </w:p>
        </w:tc>
        <w:tc>
          <w:tcPr>
            <w:tcW w:w="1287" w:type="dxa"/>
            <w:noWrap w:val="0"/>
            <w:vAlign w:val="center"/>
          </w:tcPr>
          <w:p>
            <w:pPr>
              <w:widowControl/>
              <w:jc w:val="center"/>
              <w:rPr>
                <w:rFonts w:hint="default" w:ascii="宋体" w:hAnsi="宋体" w:eastAsia="宋体" w:cs="宋体"/>
                <w:bCs/>
                <w:color w:val="auto"/>
                <w:sz w:val="20"/>
                <w:lang w:val="en-US" w:eastAsia="zh-CN"/>
              </w:rPr>
            </w:pPr>
          </w:p>
        </w:tc>
        <w:tc>
          <w:tcPr>
            <w:tcW w:w="1256" w:type="dxa"/>
            <w:noWrap w:val="0"/>
            <w:vAlign w:val="center"/>
          </w:tcPr>
          <w:p>
            <w:pPr>
              <w:jc w:val="center"/>
              <w:rPr>
                <w:rFonts w:hint="eastAsia" w:ascii="宋体" w:hAnsi="宋体" w:eastAsia="宋体" w:cs="宋体"/>
                <w:bCs/>
                <w:color w:val="auto"/>
                <w:sz w:val="20"/>
                <w:lang w:eastAsia="zh-CN"/>
              </w:rPr>
            </w:pPr>
          </w:p>
        </w:tc>
        <w:tc>
          <w:tcPr>
            <w:tcW w:w="1415" w:type="dxa"/>
            <w:noWrap w:val="0"/>
            <w:vAlign w:val="center"/>
          </w:tcPr>
          <w:p>
            <w:pPr>
              <w:jc w:val="center"/>
              <w:rPr>
                <w:rFonts w:hint="default" w:ascii="宋体" w:hAnsi="宋体" w:eastAsia="宋体" w:cs="宋体"/>
                <w:bCs/>
                <w:color w:val="auto"/>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4" w:type="dxa"/>
            <w:vMerge w:val="continue"/>
            <w:noWrap w:val="0"/>
            <w:vAlign w:val="center"/>
          </w:tcPr>
          <w:p>
            <w:pPr>
              <w:jc w:val="center"/>
              <w:rPr>
                <w:rFonts w:ascii="宋体" w:hAnsi="宋体" w:cs="宋体"/>
                <w:bCs/>
                <w:sz w:val="20"/>
              </w:rPr>
            </w:pPr>
          </w:p>
        </w:tc>
        <w:tc>
          <w:tcPr>
            <w:tcW w:w="1670" w:type="dxa"/>
            <w:vMerge w:val="continue"/>
            <w:noWrap w:val="0"/>
            <w:vAlign w:val="center"/>
          </w:tcPr>
          <w:p>
            <w:pPr>
              <w:jc w:val="center"/>
              <w:rPr>
                <w:rFonts w:ascii="宋体" w:hAnsi="宋体" w:cs="宋体"/>
                <w:bCs/>
                <w:color w:val="auto"/>
                <w:sz w:val="20"/>
              </w:rPr>
            </w:pPr>
          </w:p>
        </w:tc>
        <w:tc>
          <w:tcPr>
            <w:tcW w:w="1322"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3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23.5</w:t>
            </w:r>
          </w:p>
        </w:tc>
        <w:tc>
          <w:tcPr>
            <w:tcW w:w="1287"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1973</w:t>
            </w:r>
          </w:p>
        </w:tc>
        <w:tc>
          <w:tcPr>
            <w:tcW w:w="125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1949.5</w:t>
            </w:r>
          </w:p>
        </w:tc>
        <w:tc>
          <w:tcPr>
            <w:tcW w:w="1415"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8295.7%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4" w:type="dxa"/>
            <w:noWrap w:val="0"/>
            <w:vAlign w:val="center"/>
          </w:tcPr>
          <w:p>
            <w:pPr>
              <w:jc w:val="center"/>
              <w:rPr>
                <w:rFonts w:ascii="宋体" w:hAnsi="宋体" w:cs="宋体"/>
                <w:bCs/>
                <w:sz w:val="20"/>
              </w:rPr>
            </w:pPr>
            <w:r>
              <w:rPr>
                <w:rFonts w:hint="eastAsia" w:ascii="宋体" w:hAnsi="宋体" w:cs="宋体"/>
                <w:bCs/>
                <w:sz w:val="20"/>
              </w:rPr>
              <w:t>7</w:t>
            </w:r>
          </w:p>
        </w:tc>
        <w:tc>
          <w:tcPr>
            <w:tcW w:w="1670"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516"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评估批复、比选评估机构方案、评估报告初稿及审核意见等纸质及电子资料在资产财务部资产管理处。</w:t>
            </w:r>
          </w:p>
        </w:tc>
      </w:tr>
    </w:tbl>
    <w:p>
      <w:pPr>
        <w:rPr>
          <w:rFonts w:hint="eastAsia" w:ascii="宋体" w:hAnsi="宋体" w:cs="宋体"/>
          <w:bCs/>
          <w:sz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4031C"/>
    <w:rsid w:val="03F4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2021-08-31T06:57:00Z</dcterms:created>
  <dc:creator>宣传处</dc:creator>
  <cp:lastModifiedBy>宣传处</cp:lastModifiedBy>
  <dcterms:modified xsi:type="dcterms:W3CDTF">2021-08-31T06:58:11Z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585E6E9560D644A99ADF6CA619896237</vt:lpwstr>
  </property>
</Properties>
</file>