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Cs/>
          <w:sz w:val="20"/>
        </w:rPr>
      </w:pPr>
      <w:r>
        <w:rPr>
          <w:rFonts w:hint="eastAsia" w:ascii="黑体" w:hAnsi="黑体" w:eastAsia="黑体" w:cs="黑体"/>
          <w:bCs/>
          <w:sz w:val="30"/>
          <w:szCs w:val="30"/>
        </w:rPr>
        <w:t>中国煤炭地质总局资产评估项目公示表</w:t>
      </w:r>
    </w:p>
    <w:p>
      <w:pPr>
        <w:ind w:left="1000" w:hanging="1000" w:hangingChars="500"/>
        <w:rPr>
          <w:rFonts w:ascii="宋体" w:hAnsi="宋体" w:cs="宋体"/>
          <w:bCs/>
          <w:sz w:val="20"/>
        </w:rPr>
      </w:pPr>
      <w:r>
        <w:rPr>
          <w:rFonts w:hint="eastAsia" w:ascii="宋体" w:hAnsi="宋体" w:cs="宋体"/>
          <w:bCs/>
          <w:sz w:val="20"/>
        </w:rPr>
        <w:t>评估项目：</w:t>
      </w:r>
      <w:r>
        <w:rPr>
          <w:rFonts w:ascii="宋体" w:hAnsi="宋体" w:cs="宋体"/>
          <w:bCs/>
          <w:sz w:val="20"/>
        </w:rPr>
        <w:t>中煤(西安)地下空间科技发展有限公司股东全部权益价</w:t>
      </w:r>
      <w:r>
        <w:rPr>
          <w:rFonts w:hint="eastAsia" w:ascii="宋体" w:hAnsi="宋体" w:cs="宋体"/>
          <w:bCs/>
          <w:sz w:val="20"/>
        </w:rPr>
        <w:t>值资产评估项目</w:t>
      </w:r>
    </w:p>
    <w:p>
      <w:pPr>
        <w:rPr>
          <w:rFonts w:ascii="宋体" w:hAnsi="宋体" w:cs="宋体"/>
          <w:bCs/>
          <w:sz w:val="20"/>
        </w:rPr>
      </w:pPr>
      <w:r>
        <w:rPr>
          <w:rFonts w:hint="eastAsia" w:ascii="宋体" w:hAnsi="宋体" w:cs="宋体"/>
          <w:bCs/>
          <w:sz w:val="20"/>
        </w:rPr>
        <w:t>公示期限：2021年10月1</w:t>
      </w:r>
      <w:r>
        <w:rPr>
          <w:rFonts w:hint="eastAsia" w:ascii="宋体" w:hAnsi="宋体" w:cs="宋体"/>
          <w:bCs/>
          <w:sz w:val="20"/>
          <w:lang w:val="en-US" w:eastAsia="zh-CN"/>
        </w:rPr>
        <w:t>2</w:t>
      </w:r>
      <w:r>
        <w:rPr>
          <w:rFonts w:hint="eastAsia" w:ascii="宋体" w:hAnsi="宋体" w:cs="宋体"/>
          <w:bCs/>
          <w:sz w:val="20"/>
        </w:rPr>
        <w:t>日至2021年10月1</w:t>
      </w:r>
      <w:r>
        <w:rPr>
          <w:rFonts w:hint="eastAsia" w:ascii="宋体" w:hAnsi="宋体" w:cs="宋体"/>
          <w:bCs/>
          <w:sz w:val="20"/>
          <w:lang w:val="en-US" w:eastAsia="zh-CN"/>
        </w:rPr>
        <w:t>8</w:t>
      </w:r>
      <w:r>
        <w:rPr>
          <w:rFonts w:hint="eastAsia" w:ascii="宋体" w:hAnsi="宋体" w:cs="宋体"/>
          <w:bCs/>
          <w:sz w:val="20"/>
        </w:rPr>
        <w:t>日</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35"/>
        <w:gridCol w:w="1295"/>
        <w:gridCol w:w="1210"/>
        <w:gridCol w:w="1260"/>
        <w:gridCol w:w="123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04" w:type="dxa"/>
            <w:noWrap w:val="0"/>
            <w:vAlign w:val="center"/>
          </w:tcPr>
          <w:p>
            <w:pPr>
              <w:jc w:val="center"/>
              <w:rPr>
                <w:rFonts w:ascii="宋体" w:hAnsi="宋体" w:cs="宋体"/>
                <w:bCs/>
                <w:sz w:val="20"/>
              </w:rPr>
            </w:pPr>
            <w:r>
              <w:rPr>
                <w:rFonts w:hint="eastAsia" w:ascii="宋体" w:hAnsi="宋体" w:cs="宋体"/>
                <w:bCs/>
                <w:sz w:val="20"/>
              </w:rPr>
              <w:t>序号</w:t>
            </w:r>
          </w:p>
        </w:tc>
        <w:tc>
          <w:tcPr>
            <w:tcW w:w="1635" w:type="dxa"/>
            <w:noWrap w:val="0"/>
            <w:vAlign w:val="center"/>
          </w:tcPr>
          <w:p>
            <w:pPr>
              <w:jc w:val="center"/>
              <w:rPr>
                <w:rFonts w:ascii="宋体" w:hAnsi="宋体" w:cs="宋体"/>
                <w:bCs/>
                <w:sz w:val="20"/>
              </w:rPr>
            </w:pPr>
            <w:r>
              <w:rPr>
                <w:rFonts w:hint="eastAsia" w:ascii="宋体" w:hAnsi="宋体" w:cs="宋体"/>
                <w:bCs/>
                <w:sz w:val="20"/>
              </w:rPr>
              <w:t>公示项目</w:t>
            </w:r>
          </w:p>
        </w:tc>
        <w:tc>
          <w:tcPr>
            <w:tcW w:w="6381"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504" w:type="dxa"/>
            <w:noWrap w:val="0"/>
            <w:vAlign w:val="center"/>
          </w:tcPr>
          <w:p>
            <w:pPr>
              <w:jc w:val="center"/>
              <w:rPr>
                <w:rFonts w:ascii="宋体" w:hAnsi="宋体" w:cs="宋体"/>
                <w:bCs/>
                <w:sz w:val="20"/>
              </w:rPr>
            </w:pPr>
            <w:r>
              <w:rPr>
                <w:rFonts w:hint="eastAsia" w:ascii="宋体" w:hAnsi="宋体" w:cs="宋体"/>
                <w:bCs/>
                <w:sz w:val="20"/>
              </w:rPr>
              <w:t>1</w:t>
            </w:r>
          </w:p>
        </w:tc>
        <w:tc>
          <w:tcPr>
            <w:tcW w:w="1635" w:type="dxa"/>
            <w:noWrap w:val="0"/>
            <w:vAlign w:val="center"/>
          </w:tcPr>
          <w:p>
            <w:pPr>
              <w:jc w:val="center"/>
              <w:rPr>
                <w:rFonts w:ascii="宋体" w:hAnsi="宋体" w:cs="宋体"/>
                <w:bCs/>
                <w:sz w:val="20"/>
              </w:rPr>
            </w:pPr>
            <w:r>
              <w:rPr>
                <w:rFonts w:hint="eastAsia" w:ascii="宋体" w:hAnsi="宋体" w:cs="宋体"/>
                <w:bCs/>
                <w:sz w:val="20"/>
              </w:rPr>
              <w:t>经济行为批准</w:t>
            </w:r>
          </w:p>
          <w:p>
            <w:pPr>
              <w:jc w:val="center"/>
              <w:rPr>
                <w:rFonts w:ascii="宋体" w:hAnsi="宋体" w:cs="宋体"/>
                <w:bCs/>
                <w:sz w:val="20"/>
              </w:rPr>
            </w:pPr>
            <w:r>
              <w:rPr>
                <w:rFonts w:hint="eastAsia" w:ascii="宋体" w:hAnsi="宋体" w:cs="宋体"/>
                <w:bCs/>
                <w:sz w:val="20"/>
              </w:rPr>
              <w:t>文件</w:t>
            </w:r>
          </w:p>
        </w:tc>
        <w:tc>
          <w:tcPr>
            <w:tcW w:w="6381" w:type="dxa"/>
            <w:gridSpan w:val="5"/>
            <w:noWrap w:val="0"/>
            <w:vAlign w:val="center"/>
          </w:tcPr>
          <w:p>
            <w:pPr>
              <w:rPr>
                <w:rFonts w:ascii="宋体" w:hAnsi="宋体" w:cs="宋体"/>
                <w:bCs/>
                <w:sz w:val="20"/>
              </w:rPr>
            </w:pPr>
            <w:r>
              <w:rPr>
                <w:rFonts w:hint="eastAsia" w:ascii="宋体" w:hAnsi="宋体" w:cs="宋体"/>
                <w:bCs/>
                <w:sz w:val="20"/>
              </w:rPr>
              <w:t>《</w:t>
            </w:r>
            <w:r>
              <w:rPr>
                <w:rFonts w:ascii="宋体" w:hAnsi="宋体" w:cs="宋体"/>
                <w:bCs/>
                <w:sz w:val="20"/>
              </w:rPr>
              <w:t>中国煤炭地质总局关于中煤（西安）地下空间科技发展有限公司实施混合所有制改革方案的批复</w:t>
            </w:r>
            <w:r>
              <w:rPr>
                <w:rFonts w:hint="eastAsia" w:ascii="宋体" w:hAnsi="宋体" w:cs="宋体"/>
                <w:bCs/>
                <w:sz w:val="20"/>
              </w:rPr>
              <w:t>》（中煤地发规划〔2021〕147号）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504" w:type="dxa"/>
            <w:noWrap w:val="0"/>
            <w:vAlign w:val="center"/>
          </w:tcPr>
          <w:p>
            <w:pPr>
              <w:jc w:val="center"/>
              <w:rPr>
                <w:rFonts w:ascii="宋体" w:hAnsi="宋体" w:cs="宋体"/>
                <w:bCs/>
                <w:sz w:val="20"/>
              </w:rPr>
            </w:pPr>
            <w:r>
              <w:rPr>
                <w:rFonts w:hint="eastAsia" w:ascii="宋体" w:hAnsi="宋体" w:cs="宋体"/>
                <w:bCs/>
                <w:sz w:val="20"/>
              </w:rPr>
              <w:t>2</w:t>
            </w:r>
          </w:p>
        </w:tc>
        <w:tc>
          <w:tcPr>
            <w:tcW w:w="1635" w:type="dxa"/>
            <w:noWrap w:val="0"/>
            <w:vAlign w:val="center"/>
          </w:tcPr>
          <w:p>
            <w:pPr>
              <w:jc w:val="center"/>
              <w:rPr>
                <w:rFonts w:ascii="宋体" w:hAnsi="宋体" w:cs="宋体"/>
                <w:bCs/>
                <w:sz w:val="20"/>
              </w:rPr>
            </w:pPr>
            <w:r>
              <w:rPr>
                <w:rFonts w:hint="eastAsia" w:ascii="宋体" w:hAnsi="宋体" w:cs="宋体"/>
                <w:bCs/>
                <w:sz w:val="20"/>
              </w:rPr>
              <w:t>评估机构选聘</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rPr>
                <w:rFonts w:ascii="宋体" w:hAnsi="宋体" w:cs="宋体"/>
                <w:bCs/>
                <w:sz w:val="20"/>
              </w:rPr>
            </w:pPr>
            <w:r>
              <w:rPr>
                <w:rFonts w:hint="eastAsia" w:ascii="宋体" w:hAnsi="宋体" w:cs="宋体"/>
                <w:bCs/>
                <w:sz w:val="20"/>
              </w:rPr>
              <w:t>总局资产财务部拟定比选通知并发放给总局评估机构备选库中具有资产评估资质的评估机构，对评估机构报送的评估方案进行审查，比选出符合要求的评估机构。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504" w:type="dxa"/>
            <w:noWrap w:val="0"/>
            <w:vAlign w:val="center"/>
          </w:tcPr>
          <w:p>
            <w:pPr>
              <w:jc w:val="center"/>
              <w:rPr>
                <w:rFonts w:ascii="宋体" w:hAnsi="宋体" w:cs="宋体"/>
                <w:bCs/>
                <w:sz w:val="20"/>
              </w:rPr>
            </w:pPr>
            <w:r>
              <w:rPr>
                <w:rFonts w:hint="eastAsia" w:ascii="宋体" w:hAnsi="宋体" w:cs="宋体"/>
                <w:bCs/>
                <w:sz w:val="20"/>
              </w:rPr>
              <w:t>3</w:t>
            </w:r>
          </w:p>
        </w:tc>
        <w:tc>
          <w:tcPr>
            <w:tcW w:w="1635" w:type="dxa"/>
            <w:noWrap w:val="0"/>
            <w:vAlign w:val="center"/>
          </w:tcPr>
          <w:p>
            <w:pPr>
              <w:rPr>
                <w:rFonts w:ascii="宋体" w:hAnsi="宋体" w:cs="宋体"/>
                <w:bCs/>
                <w:sz w:val="20"/>
              </w:rPr>
            </w:pPr>
            <w:r>
              <w:rPr>
                <w:rFonts w:hint="eastAsia" w:ascii="宋体" w:hAnsi="宋体" w:cs="宋体"/>
                <w:bCs/>
                <w:sz w:val="20"/>
              </w:rPr>
              <w:t>评估机构及评估师资质</w:t>
            </w:r>
          </w:p>
        </w:tc>
        <w:tc>
          <w:tcPr>
            <w:tcW w:w="6381" w:type="dxa"/>
            <w:gridSpan w:val="5"/>
            <w:noWrap w:val="0"/>
            <w:vAlign w:val="center"/>
          </w:tcPr>
          <w:p>
            <w:pPr>
              <w:ind w:left="1500" w:hanging="1500" w:hangingChars="750"/>
              <w:jc w:val="left"/>
              <w:rPr>
                <w:rFonts w:ascii="宋体" w:hAnsi="宋体" w:cs="宋体"/>
                <w:bCs/>
                <w:sz w:val="20"/>
              </w:rPr>
            </w:pPr>
            <w:r>
              <w:rPr>
                <w:rFonts w:hint="eastAsia" w:ascii="宋体" w:hAnsi="宋体" w:cs="宋体"/>
                <w:bCs/>
                <w:sz w:val="20"/>
              </w:rPr>
              <w:t xml:space="preserve">北京亚超资产评估有限公司                                    </w:t>
            </w:r>
          </w:p>
          <w:p>
            <w:pPr>
              <w:jc w:val="left"/>
              <w:rPr>
                <w:rFonts w:ascii="宋体" w:hAnsi="宋体" w:cs="宋体"/>
                <w:bCs/>
                <w:sz w:val="20"/>
              </w:rPr>
            </w:pPr>
            <w:r>
              <w:rPr>
                <w:rFonts w:hint="eastAsia" w:ascii="宋体" w:hAnsi="宋体" w:cs="宋体"/>
                <w:bCs/>
                <w:sz w:val="20"/>
              </w:rPr>
              <w:t>步乃喜（注册号：</w:t>
            </w:r>
            <w:r>
              <w:rPr>
                <w:rFonts w:ascii="宋体" w:hAnsi="宋体" w:cs="宋体"/>
                <w:bCs/>
                <w:sz w:val="20"/>
              </w:rPr>
              <w:t>37050094</w:t>
            </w:r>
            <w:r>
              <w:rPr>
                <w:rFonts w:hint="eastAsia" w:ascii="宋体" w:hAnsi="宋体" w:cs="宋体"/>
                <w:bCs/>
                <w:sz w:val="20"/>
              </w:rPr>
              <w:t>）、 罗林华（注册号：</w:t>
            </w:r>
            <w:r>
              <w:rPr>
                <w:rFonts w:ascii="宋体" w:hAnsi="宋体" w:cs="宋体"/>
                <w:bCs/>
                <w:sz w:val="20"/>
              </w:rPr>
              <w:t>11001645</w:t>
            </w:r>
            <w:r>
              <w:rPr>
                <w:rFonts w:hint="eastAsia" w:ascii="宋体" w:hAnsi="宋体" w:cs="宋体"/>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504" w:type="dxa"/>
            <w:noWrap w:val="0"/>
            <w:vAlign w:val="center"/>
          </w:tcPr>
          <w:p>
            <w:pPr>
              <w:jc w:val="center"/>
              <w:rPr>
                <w:rFonts w:ascii="宋体" w:hAnsi="宋体" w:cs="宋体"/>
                <w:bCs/>
                <w:sz w:val="20"/>
              </w:rPr>
            </w:pPr>
            <w:r>
              <w:rPr>
                <w:rFonts w:hint="eastAsia" w:ascii="宋体" w:hAnsi="宋体" w:cs="宋体"/>
                <w:bCs/>
                <w:sz w:val="20"/>
              </w:rPr>
              <w:t>4</w:t>
            </w:r>
          </w:p>
        </w:tc>
        <w:tc>
          <w:tcPr>
            <w:tcW w:w="1635" w:type="dxa"/>
            <w:noWrap w:val="0"/>
            <w:vAlign w:val="center"/>
          </w:tcPr>
          <w:p>
            <w:pPr>
              <w:jc w:val="center"/>
              <w:rPr>
                <w:rFonts w:ascii="宋体" w:hAnsi="宋体" w:cs="宋体"/>
                <w:bCs/>
                <w:sz w:val="20"/>
              </w:rPr>
            </w:pPr>
            <w:r>
              <w:rPr>
                <w:rFonts w:hint="eastAsia" w:ascii="宋体" w:hAnsi="宋体" w:cs="宋体"/>
                <w:bCs/>
                <w:sz w:val="20"/>
              </w:rPr>
              <w:t>评估程序履行及独立第三方评估机构审核情况</w:t>
            </w:r>
          </w:p>
        </w:tc>
        <w:tc>
          <w:tcPr>
            <w:tcW w:w="6381" w:type="dxa"/>
            <w:gridSpan w:val="5"/>
            <w:noWrap w:val="0"/>
            <w:vAlign w:val="center"/>
          </w:tcPr>
          <w:p>
            <w:pPr>
              <w:jc w:val="left"/>
              <w:rPr>
                <w:rFonts w:ascii="宋体" w:hAnsi="宋体" w:cs="宋体"/>
                <w:bCs/>
                <w:sz w:val="20"/>
              </w:rPr>
            </w:pPr>
            <w:r>
              <w:rPr>
                <w:rFonts w:hint="eastAsia" w:ascii="宋体" w:hAnsi="宋体" w:cs="宋体"/>
                <w:bCs/>
                <w:sz w:val="20"/>
              </w:rPr>
              <w:t>中煤（西安）地下空间科技发展有限公司选聘北京亚超资产评估有限公司对</w:t>
            </w:r>
            <w:r>
              <w:rPr>
                <w:rFonts w:ascii="宋体" w:hAnsi="宋体" w:cs="宋体"/>
                <w:bCs/>
                <w:sz w:val="20"/>
              </w:rPr>
              <w:t>中煤(西安)地下空间科技发展有限公司股东全部权益价</w:t>
            </w:r>
            <w:r>
              <w:rPr>
                <w:rFonts w:hint="eastAsia" w:ascii="宋体" w:hAnsi="宋体" w:cs="宋体"/>
                <w:bCs/>
                <w:sz w:val="20"/>
              </w:rPr>
              <w:t>值开展评估工作，总局委托第三方机构对评估报告初稿进行了审核，评估公司针对审核意见进行了修订完善。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4" w:hRule="atLeast"/>
        </w:trPr>
        <w:tc>
          <w:tcPr>
            <w:tcW w:w="504" w:type="dxa"/>
            <w:noWrap w:val="0"/>
            <w:vAlign w:val="center"/>
          </w:tcPr>
          <w:p>
            <w:pPr>
              <w:jc w:val="center"/>
              <w:rPr>
                <w:rFonts w:ascii="宋体" w:hAnsi="宋体" w:cs="宋体"/>
                <w:bCs/>
                <w:sz w:val="20"/>
              </w:rPr>
            </w:pPr>
            <w:r>
              <w:rPr>
                <w:rFonts w:hint="eastAsia" w:ascii="宋体" w:hAnsi="宋体" w:cs="宋体"/>
                <w:bCs/>
                <w:sz w:val="20"/>
              </w:rPr>
              <w:t>5</w:t>
            </w:r>
          </w:p>
        </w:tc>
        <w:tc>
          <w:tcPr>
            <w:tcW w:w="1635" w:type="dxa"/>
            <w:noWrap w:val="0"/>
            <w:vAlign w:val="center"/>
          </w:tcPr>
          <w:p>
            <w:pPr>
              <w:jc w:val="center"/>
              <w:rPr>
                <w:rFonts w:ascii="宋体" w:hAnsi="宋体" w:cs="宋体"/>
                <w:bCs/>
                <w:sz w:val="20"/>
              </w:rPr>
            </w:pPr>
            <w:r>
              <w:rPr>
                <w:rFonts w:hint="eastAsia" w:ascii="宋体" w:hAnsi="宋体" w:cs="宋体"/>
                <w:bCs/>
                <w:sz w:val="20"/>
              </w:rPr>
              <w:t>评估报告摘要和特别事项说明</w:t>
            </w:r>
          </w:p>
        </w:tc>
        <w:tc>
          <w:tcPr>
            <w:tcW w:w="6381" w:type="dxa"/>
            <w:gridSpan w:val="5"/>
            <w:noWrap w:val="0"/>
            <w:vAlign w:val="center"/>
          </w:tcPr>
          <w:p>
            <w:pPr>
              <w:jc w:val="left"/>
              <w:rPr>
                <w:rFonts w:ascii="宋体" w:hAnsi="宋体" w:cs="宋体"/>
                <w:bCs/>
                <w:sz w:val="20"/>
              </w:rPr>
            </w:pPr>
            <w:r>
              <w:rPr>
                <w:rFonts w:hint="eastAsia" w:ascii="宋体" w:hAnsi="宋体" w:cs="宋体"/>
                <w:bCs/>
                <w:sz w:val="20"/>
                <w:lang w:val="en-US" w:eastAsia="zh-CN"/>
              </w:rPr>
              <w:t xml:space="preserve">   </w:t>
            </w:r>
            <w:r>
              <w:rPr>
                <w:rFonts w:hint="eastAsia" w:ascii="宋体" w:hAnsi="宋体" w:cs="宋体"/>
                <w:bCs/>
                <w:sz w:val="20"/>
              </w:rPr>
              <w:t>北京亚超资产评估有限公司接受</w:t>
            </w:r>
            <w:r>
              <w:rPr>
                <w:rFonts w:ascii="宋体" w:hAnsi="宋体" w:cs="宋体"/>
                <w:bCs/>
                <w:sz w:val="20"/>
              </w:rPr>
              <w:t>中煤(西安)地下空间科技发展有限公司</w:t>
            </w:r>
            <w:r>
              <w:rPr>
                <w:rFonts w:hint="eastAsia" w:ascii="宋体" w:hAnsi="宋体" w:cs="宋体"/>
                <w:bCs/>
                <w:sz w:val="20"/>
              </w:rPr>
              <w:t>的委托，对</w:t>
            </w:r>
            <w:r>
              <w:rPr>
                <w:rFonts w:ascii="宋体" w:hAnsi="宋体" w:cs="宋体"/>
                <w:bCs/>
                <w:sz w:val="20"/>
              </w:rPr>
              <w:t>中煤(西安)地下空间科技发展有限公司股东全部权益</w:t>
            </w:r>
            <w:r>
              <w:rPr>
                <w:rFonts w:hint="eastAsia" w:ascii="宋体" w:hAnsi="宋体" w:cs="宋体"/>
                <w:bCs/>
                <w:sz w:val="20"/>
              </w:rPr>
              <w:t>在2021年3月31日市场价值进行了评估。</w:t>
            </w:r>
            <w:r>
              <w:rPr>
                <w:rFonts w:ascii="宋体" w:hAnsi="宋体" w:cs="宋体"/>
                <w:bCs/>
                <w:sz w:val="20"/>
              </w:rPr>
              <w:t>评估对象是中煤(西安)地下空间科技发展有限公司股东全部权益价值，评估范围是中煤(西安)地下空间科技发展有限公司申报经审计的全部资产和负债。</w:t>
            </w:r>
            <w:r>
              <w:rPr>
                <w:rFonts w:hint="eastAsia" w:ascii="宋体" w:hAnsi="宋体" w:cs="宋体"/>
                <w:bCs/>
                <w:sz w:val="20"/>
              </w:rPr>
              <w:t>结合本次评估目的，采用了资产基础法进行评估。评估过程包括评估前期工作、现场调查及收集整理评估资料工作、评定估算工作、汇总分析撰写报告工作。北京亚超资产评估有限公司根据有关法律、法规和中国资产评估准则的要求，本着独立、客观和公正的原则，执行必要的评估程序，得出评估结论如下：经采用资产基础法评估，</w:t>
            </w:r>
            <w:r>
              <w:rPr>
                <w:rFonts w:ascii="宋体" w:hAnsi="宋体" w:cs="宋体"/>
                <w:bCs/>
                <w:sz w:val="20"/>
              </w:rPr>
              <w:t>中煤(西安)地下空间科技发展有限公司股东全部权益评估价值为3,306.15</w:t>
            </w:r>
            <w:r>
              <w:rPr>
                <w:rFonts w:hint="eastAsia" w:ascii="宋体" w:hAnsi="宋体" w:cs="宋体"/>
                <w:bCs/>
                <w:sz w:val="20"/>
              </w:rPr>
              <w:t>万元，评估增值</w:t>
            </w:r>
            <w:r>
              <w:rPr>
                <w:rFonts w:ascii="宋体" w:hAnsi="宋体" w:cs="宋体"/>
                <w:bCs/>
                <w:sz w:val="20"/>
              </w:rPr>
              <w:t>74.15</w:t>
            </w:r>
            <w:r>
              <w:rPr>
                <w:rFonts w:hint="eastAsia" w:ascii="宋体" w:hAnsi="宋体" w:cs="宋体"/>
                <w:bCs/>
                <w:sz w:val="20"/>
              </w:rPr>
              <w:t>万元，增值率</w:t>
            </w:r>
            <w:r>
              <w:rPr>
                <w:rFonts w:ascii="宋体" w:hAnsi="宋体" w:cs="宋体"/>
                <w:bCs/>
                <w:sz w:val="20"/>
              </w:rPr>
              <w:t>2.29%</w:t>
            </w:r>
          </w:p>
          <w:p>
            <w:pPr>
              <w:ind w:firstLine="400" w:firstLineChars="200"/>
              <w:jc w:val="left"/>
              <w:rPr>
                <w:rFonts w:ascii="宋体" w:hAnsi="宋体" w:cs="宋体"/>
                <w:bCs/>
                <w:sz w:val="20"/>
              </w:rPr>
            </w:pPr>
            <w:r>
              <w:rPr>
                <w:rFonts w:hint="eastAsia" w:ascii="宋体" w:hAnsi="宋体" w:cs="宋体"/>
                <w:bCs/>
                <w:sz w:val="20"/>
                <w:lang w:eastAsia="zh-CN"/>
              </w:rPr>
              <w:t>另外，</w:t>
            </w:r>
            <w:r>
              <w:rPr>
                <w:rFonts w:hint="eastAsia" w:ascii="宋体" w:hAnsi="宋体" w:cs="宋体"/>
                <w:bCs/>
                <w:sz w:val="20"/>
              </w:rPr>
              <w:t>中煤(西安)地下空间科技发展有限公司于2021年7月20日收到中国煤炭地质总局出资2015.65万元，实收资本变为5000万元。如果考虑期后追加实缴出资2015.65万元，则中煤(西安)地下空间科技发展有限公司在2021年3月31日股东全部权益价值为</w:t>
            </w:r>
            <w:r>
              <w:rPr>
                <w:rFonts w:ascii="宋体" w:hAnsi="宋体" w:cs="宋体"/>
                <w:bCs/>
                <w:sz w:val="20"/>
              </w:rPr>
              <w:t>5,321.80万元</w:t>
            </w:r>
            <w:r>
              <w:rPr>
                <w:rFonts w:hint="eastAsia" w:ascii="宋体" w:hAnsi="宋体" w:cs="宋体"/>
                <w:bCs/>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504" w:type="dxa"/>
            <w:vMerge w:val="restart"/>
            <w:noWrap w:val="0"/>
            <w:vAlign w:val="center"/>
          </w:tcPr>
          <w:p>
            <w:pPr>
              <w:jc w:val="center"/>
              <w:rPr>
                <w:rFonts w:ascii="宋体" w:hAnsi="宋体" w:cs="宋体"/>
                <w:bCs/>
                <w:sz w:val="20"/>
              </w:rPr>
            </w:pPr>
            <w:r>
              <w:rPr>
                <w:rFonts w:hint="eastAsia" w:ascii="宋体" w:hAnsi="宋体" w:cs="宋体"/>
                <w:bCs/>
                <w:sz w:val="20"/>
              </w:rPr>
              <w:t>6</w:t>
            </w:r>
          </w:p>
        </w:tc>
        <w:tc>
          <w:tcPr>
            <w:tcW w:w="1635" w:type="dxa"/>
            <w:vMerge w:val="restart"/>
            <w:noWrap w:val="0"/>
            <w:vAlign w:val="center"/>
          </w:tcPr>
          <w:p>
            <w:pPr>
              <w:jc w:val="center"/>
              <w:rPr>
                <w:rFonts w:ascii="宋体" w:hAnsi="宋体" w:cs="宋体"/>
                <w:bCs/>
                <w:sz w:val="20"/>
              </w:rPr>
            </w:pPr>
            <w:r>
              <w:rPr>
                <w:rFonts w:hint="eastAsia" w:ascii="宋体" w:hAnsi="宋体" w:cs="宋体"/>
                <w:bCs/>
                <w:sz w:val="20"/>
              </w:rPr>
              <w:t>评估结果汇总表</w:t>
            </w:r>
          </w:p>
          <w:p>
            <w:pPr>
              <w:jc w:val="center"/>
              <w:rPr>
                <w:rFonts w:ascii="宋体" w:hAnsi="宋体" w:cs="宋体"/>
                <w:bCs/>
                <w:sz w:val="20"/>
              </w:rPr>
            </w:pPr>
            <w:r>
              <w:rPr>
                <w:rFonts w:hint="eastAsia" w:ascii="宋体" w:hAnsi="宋体" w:cs="宋体"/>
                <w:bCs/>
                <w:sz w:val="20"/>
              </w:rPr>
              <w:t>（单位：万元）</w:t>
            </w:r>
          </w:p>
        </w:tc>
        <w:tc>
          <w:tcPr>
            <w:tcW w:w="1295" w:type="dxa"/>
            <w:noWrap w:val="0"/>
            <w:vAlign w:val="center"/>
          </w:tcPr>
          <w:p>
            <w:pPr>
              <w:jc w:val="center"/>
              <w:rPr>
                <w:rFonts w:ascii="宋体" w:hAnsi="宋体" w:cs="宋体"/>
                <w:bCs/>
                <w:sz w:val="20"/>
              </w:rPr>
            </w:pPr>
            <w:r>
              <w:rPr>
                <w:rFonts w:hint="eastAsia" w:ascii="宋体" w:hAnsi="宋体" w:cs="宋体"/>
                <w:bCs/>
                <w:sz w:val="20"/>
              </w:rPr>
              <w:t>项  目</w:t>
            </w:r>
          </w:p>
        </w:tc>
        <w:tc>
          <w:tcPr>
            <w:tcW w:w="1210" w:type="dxa"/>
            <w:noWrap w:val="0"/>
            <w:vAlign w:val="center"/>
          </w:tcPr>
          <w:p>
            <w:pPr>
              <w:jc w:val="center"/>
              <w:rPr>
                <w:rFonts w:ascii="宋体" w:hAnsi="宋体" w:cs="宋体"/>
                <w:bCs/>
                <w:sz w:val="20"/>
              </w:rPr>
            </w:pPr>
            <w:r>
              <w:rPr>
                <w:rFonts w:hint="eastAsia" w:ascii="宋体" w:hAnsi="宋体" w:cs="宋体"/>
                <w:bCs/>
                <w:sz w:val="20"/>
              </w:rPr>
              <w:t>账面价值</w:t>
            </w:r>
          </w:p>
        </w:tc>
        <w:tc>
          <w:tcPr>
            <w:tcW w:w="1260" w:type="dxa"/>
            <w:noWrap w:val="0"/>
            <w:vAlign w:val="center"/>
          </w:tcPr>
          <w:p>
            <w:pPr>
              <w:jc w:val="center"/>
              <w:rPr>
                <w:rFonts w:ascii="宋体" w:hAnsi="宋体" w:cs="宋体"/>
                <w:bCs/>
                <w:sz w:val="20"/>
              </w:rPr>
            </w:pPr>
            <w:r>
              <w:rPr>
                <w:rFonts w:hint="eastAsia" w:ascii="宋体" w:hAnsi="宋体" w:cs="宋体"/>
                <w:bCs/>
                <w:sz w:val="20"/>
              </w:rPr>
              <w:t>评估值</w:t>
            </w:r>
          </w:p>
        </w:tc>
        <w:tc>
          <w:tcPr>
            <w:tcW w:w="1230" w:type="dxa"/>
            <w:noWrap w:val="0"/>
            <w:vAlign w:val="center"/>
          </w:tcPr>
          <w:p>
            <w:pPr>
              <w:jc w:val="center"/>
              <w:rPr>
                <w:rFonts w:ascii="宋体" w:hAnsi="宋体" w:cs="宋体"/>
                <w:bCs/>
                <w:sz w:val="20"/>
              </w:rPr>
            </w:pPr>
            <w:r>
              <w:rPr>
                <w:rFonts w:hint="eastAsia" w:ascii="宋体" w:hAnsi="宋体" w:cs="宋体"/>
                <w:bCs/>
                <w:sz w:val="20"/>
              </w:rPr>
              <w:t>增值额</w:t>
            </w:r>
          </w:p>
        </w:tc>
        <w:tc>
          <w:tcPr>
            <w:tcW w:w="1386" w:type="dxa"/>
            <w:noWrap w:val="0"/>
            <w:vAlign w:val="center"/>
          </w:tcPr>
          <w:p>
            <w:pPr>
              <w:jc w:val="center"/>
              <w:rPr>
                <w:rFonts w:ascii="宋体" w:hAnsi="宋体" w:cs="宋体"/>
                <w:bCs/>
                <w:sz w:val="20"/>
              </w:rPr>
            </w:pPr>
            <w:r>
              <w:rPr>
                <w:rFonts w:hint="eastAsia" w:ascii="宋体" w:hAnsi="宋体" w:cs="宋体"/>
                <w:bCs/>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sz w:val="20"/>
              </w:rPr>
            </w:pPr>
          </w:p>
        </w:tc>
        <w:tc>
          <w:tcPr>
            <w:tcW w:w="1295" w:type="dxa"/>
            <w:noWrap w:val="0"/>
            <w:vAlign w:val="center"/>
          </w:tcPr>
          <w:p>
            <w:pPr>
              <w:widowControl/>
              <w:jc w:val="center"/>
              <w:rPr>
                <w:rFonts w:ascii="宋体" w:hAnsi="宋体" w:cs="宋体"/>
                <w:bCs/>
                <w:sz w:val="20"/>
              </w:rPr>
            </w:pPr>
            <w:r>
              <w:rPr>
                <w:rFonts w:hint="eastAsia" w:ascii="宋体" w:hAnsi="宋体" w:cs="宋体"/>
                <w:bCs/>
                <w:sz w:val="20"/>
              </w:rPr>
              <w:t>资产总额</w:t>
            </w:r>
          </w:p>
        </w:tc>
        <w:tc>
          <w:tcPr>
            <w:tcW w:w="1210" w:type="dxa"/>
            <w:noWrap w:val="0"/>
            <w:vAlign w:val="center"/>
          </w:tcPr>
          <w:p>
            <w:pPr>
              <w:widowControl/>
              <w:jc w:val="center"/>
              <w:rPr>
                <w:rFonts w:ascii="宋体" w:hAnsi="宋体" w:cs="宋体"/>
                <w:bCs/>
                <w:sz w:val="20"/>
              </w:rPr>
            </w:pPr>
            <w:r>
              <w:rPr>
                <w:rFonts w:hint="eastAsia" w:ascii="宋体" w:hAnsi="宋体" w:cs="宋体"/>
                <w:bCs/>
                <w:sz w:val="20"/>
              </w:rPr>
              <w:t>10,186.86</w:t>
            </w:r>
          </w:p>
        </w:tc>
        <w:tc>
          <w:tcPr>
            <w:tcW w:w="1260" w:type="dxa"/>
            <w:noWrap w:val="0"/>
            <w:vAlign w:val="center"/>
          </w:tcPr>
          <w:p>
            <w:pPr>
              <w:widowControl/>
              <w:jc w:val="center"/>
              <w:rPr>
                <w:rFonts w:ascii="宋体" w:hAnsi="宋体" w:cs="宋体"/>
                <w:bCs/>
                <w:sz w:val="20"/>
              </w:rPr>
            </w:pPr>
            <w:r>
              <w:rPr>
                <w:rFonts w:ascii="宋体" w:hAnsi="宋体" w:cs="宋体"/>
                <w:bCs/>
                <w:sz w:val="20"/>
              </w:rPr>
              <w:t>10,261.01</w:t>
            </w:r>
          </w:p>
        </w:tc>
        <w:tc>
          <w:tcPr>
            <w:tcW w:w="1230" w:type="dxa"/>
            <w:noWrap w:val="0"/>
            <w:vAlign w:val="center"/>
          </w:tcPr>
          <w:p>
            <w:pPr>
              <w:widowControl/>
              <w:jc w:val="center"/>
              <w:rPr>
                <w:rFonts w:ascii="宋体" w:hAnsi="宋体" w:cs="宋体"/>
                <w:bCs/>
                <w:sz w:val="20"/>
              </w:rPr>
            </w:pPr>
            <w:r>
              <w:rPr>
                <w:rFonts w:hint="eastAsia" w:ascii="宋体" w:hAnsi="宋体" w:cs="宋体"/>
                <w:bCs/>
                <w:sz w:val="20"/>
              </w:rPr>
              <w:t>74.15</w:t>
            </w:r>
          </w:p>
        </w:tc>
        <w:tc>
          <w:tcPr>
            <w:tcW w:w="1386" w:type="dxa"/>
            <w:noWrap w:val="0"/>
            <w:vAlign w:val="center"/>
          </w:tcPr>
          <w:p>
            <w:pPr>
              <w:widowControl/>
              <w:jc w:val="center"/>
              <w:rPr>
                <w:rFonts w:ascii="宋体" w:hAnsi="宋体" w:cs="宋体"/>
                <w:bCs/>
                <w:sz w:val="20"/>
              </w:rPr>
            </w:pPr>
            <w:r>
              <w:rPr>
                <w:rFonts w:hint="eastAsia" w:ascii="宋体" w:hAnsi="宋体" w:cs="宋体"/>
                <w:bCs/>
                <w:sz w:val="20"/>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sz w:val="20"/>
              </w:rPr>
            </w:pPr>
          </w:p>
        </w:tc>
        <w:tc>
          <w:tcPr>
            <w:tcW w:w="1295" w:type="dxa"/>
            <w:noWrap w:val="0"/>
            <w:vAlign w:val="center"/>
          </w:tcPr>
          <w:p>
            <w:pPr>
              <w:widowControl/>
              <w:jc w:val="center"/>
              <w:rPr>
                <w:rFonts w:ascii="宋体" w:hAnsi="宋体" w:cs="宋体"/>
                <w:bCs/>
                <w:sz w:val="20"/>
              </w:rPr>
            </w:pPr>
            <w:r>
              <w:rPr>
                <w:rFonts w:hint="eastAsia" w:ascii="宋体" w:hAnsi="宋体" w:cs="宋体"/>
                <w:bCs/>
                <w:sz w:val="20"/>
              </w:rPr>
              <w:t>负债总额</w:t>
            </w:r>
          </w:p>
        </w:tc>
        <w:tc>
          <w:tcPr>
            <w:tcW w:w="1210" w:type="dxa"/>
            <w:noWrap w:val="0"/>
            <w:vAlign w:val="center"/>
          </w:tcPr>
          <w:p>
            <w:pPr>
              <w:widowControl/>
              <w:jc w:val="center"/>
              <w:rPr>
                <w:rFonts w:ascii="宋体" w:hAnsi="宋体" w:cs="宋体"/>
                <w:bCs/>
                <w:sz w:val="20"/>
              </w:rPr>
            </w:pPr>
            <w:r>
              <w:rPr>
                <w:rFonts w:hint="eastAsia" w:ascii="宋体" w:hAnsi="宋体" w:cs="宋体"/>
                <w:bCs/>
                <w:sz w:val="20"/>
              </w:rPr>
              <w:t>6,954.86</w:t>
            </w:r>
          </w:p>
        </w:tc>
        <w:tc>
          <w:tcPr>
            <w:tcW w:w="1260" w:type="dxa"/>
            <w:noWrap w:val="0"/>
            <w:vAlign w:val="center"/>
          </w:tcPr>
          <w:p>
            <w:pPr>
              <w:widowControl/>
              <w:jc w:val="center"/>
              <w:rPr>
                <w:rFonts w:ascii="宋体" w:hAnsi="宋体" w:cs="宋体"/>
                <w:bCs/>
                <w:sz w:val="20"/>
              </w:rPr>
            </w:pPr>
            <w:r>
              <w:rPr>
                <w:rFonts w:hint="eastAsia" w:ascii="宋体" w:hAnsi="宋体" w:cs="宋体"/>
                <w:bCs/>
                <w:sz w:val="20"/>
              </w:rPr>
              <w:t>6,954.86</w:t>
            </w:r>
          </w:p>
        </w:tc>
        <w:tc>
          <w:tcPr>
            <w:tcW w:w="1230" w:type="dxa"/>
            <w:noWrap w:val="0"/>
            <w:vAlign w:val="center"/>
          </w:tcPr>
          <w:p>
            <w:pPr>
              <w:widowControl/>
              <w:jc w:val="center"/>
              <w:rPr>
                <w:rFonts w:ascii="宋体" w:hAnsi="宋体" w:cs="宋体"/>
                <w:bCs/>
                <w:sz w:val="20"/>
              </w:rPr>
            </w:pPr>
            <w:r>
              <w:rPr>
                <w:rFonts w:hint="eastAsia" w:ascii="宋体" w:hAnsi="宋体" w:cs="宋体"/>
                <w:bCs/>
                <w:sz w:val="20"/>
              </w:rPr>
              <w:t>0</w:t>
            </w:r>
          </w:p>
        </w:tc>
        <w:tc>
          <w:tcPr>
            <w:tcW w:w="1386" w:type="dxa"/>
            <w:noWrap w:val="0"/>
            <w:vAlign w:val="center"/>
          </w:tcPr>
          <w:p>
            <w:pPr>
              <w:widowControl/>
              <w:jc w:val="center"/>
              <w:rPr>
                <w:rFonts w:ascii="宋体" w:hAnsi="宋体" w:cs="宋体"/>
                <w:bCs/>
                <w:sz w:val="20"/>
              </w:rPr>
            </w:pPr>
            <w:r>
              <w:rPr>
                <w:rFonts w:hint="eastAsia" w:ascii="宋体" w:hAnsi="宋体" w:cs="宋体"/>
                <w:bCs/>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sz w:val="20"/>
              </w:rPr>
            </w:pPr>
          </w:p>
        </w:tc>
        <w:tc>
          <w:tcPr>
            <w:tcW w:w="1295" w:type="dxa"/>
            <w:noWrap w:val="0"/>
            <w:vAlign w:val="center"/>
          </w:tcPr>
          <w:p>
            <w:pPr>
              <w:widowControl/>
              <w:jc w:val="center"/>
              <w:rPr>
                <w:rFonts w:ascii="宋体" w:hAnsi="宋体" w:cs="宋体"/>
                <w:bCs/>
                <w:sz w:val="20"/>
              </w:rPr>
            </w:pPr>
            <w:r>
              <w:rPr>
                <w:rFonts w:hint="eastAsia" w:ascii="宋体" w:hAnsi="宋体" w:cs="宋体"/>
                <w:bCs/>
                <w:sz w:val="20"/>
              </w:rPr>
              <w:t>净 资 产</w:t>
            </w:r>
          </w:p>
        </w:tc>
        <w:tc>
          <w:tcPr>
            <w:tcW w:w="1210" w:type="dxa"/>
            <w:noWrap w:val="0"/>
            <w:vAlign w:val="center"/>
          </w:tcPr>
          <w:p>
            <w:pPr>
              <w:widowControl/>
              <w:jc w:val="center"/>
              <w:rPr>
                <w:rFonts w:ascii="宋体" w:hAnsi="宋体" w:cs="宋体"/>
                <w:bCs/>
                <w:sz w:val="20"/>
              </w:rPr>
            </w:pPr>
            <w:r>
              <w:rPr>
                <w:rFonts w:hint="eastAsia" w:ascii="宋体" w:hAnsi="宋体" w:cs="宋体"/>
                <w:bCs/>
                <w:sz w:val="20"/>
              </w:rPr>
              <w:t>3,232.00</w:t>
            </w:r>
          </w:p>
        </w:tc>
        <w:tc>
          <w:tcPr>
            <w:tcW w:w="1260" w:type="dxa"/>
            <w:noWrap w:val="0"/>
            <w:vAlign w:val="center"/>
          </w:tcPr>
          <w:p>
            <w:pPr>
              <w:widowControl/>
              <w:jc w:val="center"/>
              <w:rPr>
                <w:rFonts w:ascii="宋体" w:hAnsi="宋体" w:cs="宋体"/>
                <w:bCs/>
                <w:sz w:val="20"/>
              </w:rPr>
            </w:pPr>
            <w:r>
              <w:rPr>
                <w:rFonts w:hint="eastAsia" w:ascii="宋体" w:hAnsi="宋体" w:cs="宋体"/>
                <w:bCs/>
                <w:sz w:val="20"/>
              </w:rPr>
              <w:t>3,306.15</w:t>
            </w:r>
          </w:p>
        </w:tc>
        <w:tc>
          <w:tcPr>
            <w:tcW w:w="1230" w:type="dxa"/>
            <w:noWrap w:val="0"/>
            <w:vAlign w:val="center"/>
          </w:tcPr>
          <w:p>
            <w:pPr>
              <w:widowControl/>
              <w:jc w:val="center"/>
              <w:rPr>
                <w:rFonts w:ascii="宋体" w:hAnsi="宋体" w:cs="宋体"/>
                <w:bCs/>
                <w:sz w:val="20"/>
              </w:rPr>
            </w:pPr>
            <w:r>
              <w:rPr>
                <w:rFonts w:hint="eastAsia" w:ascii="宋体" w:hAnsi="宋体" w:cs="宋体"/>
                <w:bCs/>
                <w:sz w:val="20"/>
              </w:rPr>
              <w:t>74.15</w:t>
            </w:r>
          </w:p>
        </w:tc>
        <w:tc>
          <w:tcPr>
            <w:tcW w:w="1386" w:type="dxa"/>
            <w:noWrap w:val="0"/>
            <w:vAlign w:val="center"/>
          </w:tcPr>
          <w:p>
            <w:pPr>
              <w:widowControl/>
              <w:jc w:val="center"/>
              <w:rPr>
                <w:rFonts w:ascii="宋体" w:hAnsi="宋体" w:cs="宋体"/>
                <w:bCs/>
                <w:sz w:val="20"/>
              </w:rPr>
            </w:pPr>
            <w:r>
              <w:rPr>
                <w:rFonts w:hint="eastAsia" w:ascii="宋体" w:hAnsi="宋体" w:cs="宋体"/>
                <w:bCs/>
                <w:sz w:val="20"/>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04" w:type="dxa"/>
            <w:noWrap w:val="0"/>
            <w:vAlign w:val="center"/>
          </w:tcPr>
          <w:p>
            <w:pPr>
              <w:jc w:val="center"/>
              <w:rPr>
                <w:rFonts w:ascii="宋体" w:hAnsi="宋体" w:cs="宋体"/>
                <w:bCs/>
                <w:sz w:val="20"/>
              </w:rPr>
            </w:pPr>
            <w:r>
              <w:rPr>
                <w:rFonts w:hint="eastAsia" w:ascii="宋体" w:hAnsi="宋体" w:cs="宋体"/>
                <w:bCs/>
                <w:sz w:val="20"/>
              </w:rPr>
              <w:t>7</w:t>
            </w:r>
          </w:p>
        </w:tc>
        <w:tc>
          <w:tcPr>
            <w:tcW w:w="1635"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jc w:val="left"/>
              <w:rPr>
                <w:rFonts w:ascii="宋体" w:hAnsi="宋体" w:cs="宋体"/>
                <w:bCs/>
                <w:sz w:val="20"/>
              </w:rPr>
            </w:pPr>
            <w:r>
              <w:rPr>
                <w:rFonts w:hint="eastAsia" w:ascii="宋体" w:hAnsi="宋体" w:cs="宋体"/>
                <w:bCs/>
                <w:sz w:val="20"/>
              </w:rPr>
              <w:t>评估批复、比选评估机构方案、评估报告初稿及审核意见等纸质及电子资料在总局资产财务部资产管理处。</w:t>
            </w:r>
          </w:p>
        </w:tc>
      </w:tr>
    </w:tbl>
    <w:p>
      <w:pPr>
        <w:rPr>
          <w:rFonts w:hint="eastAsia" w:ascii="宋体" w:hAnsi="宋体" w:cs="宋体"/>
          <w:bCs/>
          <w:sz w:val="20"/>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4599E"/>
    <w:rsid w:val="5D145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2021-10-12T01:16:00Z</dcterms:created>
  <dc:creator>赵龙</dc:creator>
  <cp:lastModifiedBy>赵龙</cp:lastModifiedBy>
  <dcterms:modified xsi:type="dcterms:W3CDTF">2021-10-12T01:16:41Z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