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Cs/>
          <w:sz w:val="30"/>
          <w:szCs w:val="30"/>
        </w:rPr>
      </w:pPr>
      <w:r>
        <w:rPr>
          <w:rFonts w:hint="eastAsia" w:ascii="黑体" w:hAnsi="黑体" w:eastAsia="黑体" w:cs="黑体"/>
          <w:bCs/>
          <w:sz w:val="30"/>
          <w:szCs w:val="30"/>
        </w:rPr>
        <w:t>中国煤炭地质总局资产评估项目公示表</w:t>
      </w:r>
    </w:p>
    <w:p>
      <w:pPr>
        <w:jc w:val="center"/>
        <w:rPr>
          <w:rFonts w:hint="eastAsia" w:ascii="黑体" w:hAnsi="黑体" w:eastAsia="黑体" w:cs="黑体"/>
          <w:bCs/>
          <w:sz w:val="30"/>
          <w:szCs w:val="30"/>
        </w:rPr>
      </w:pPr>
    </w:p>
    <w:p>
      <w:pPr>
        <w:rPr>
          <w:rFonts w:ascii="宋体" w:hAnsi="宋体" w:cs="宋体"/>
          <w:bCs/>
          <w:sz w:val="20"/>
        </w:rPr>
      </w:pPr>
      <w:r>
        <w:rPr>
          <w:rFonts w:hint="eastAsia" w:ascii="宋体" w:hAnsi="宋体" w:cs="宋体"/>
          <w:bCs/>
          <w:sz w:val="20"/>
        </w:rPr>
        <w:t>评估项目：中煤地科技发展有限公司资产评估项目</w:t>
      </w:r>
    </w:p>
    <w:p>
      <w:pPr>
        <w:rPr>
          <w:rFonts w:hint="eastAsia" w:ascii="宋体" w:hAnsi="宋体" w:cs="宋体"/>
          <w:bCs/>
          <w:sz w:val="20"/>
        </w:rPr>
      </w:pPr>
      <w:r>
        <w:rPr>
          <w:rFonts w:hint="eastAsia" w:ascii="宋体" w:hAnsi="宋体" w:cs="宋体"/>
          <w:bCs/>
          <w:sz w:val="20"/>
        </w:rPr>
        <w:t>公示期限：2021年11月8日至2021年11月12日</w:t>
      </w:r>
    </w:p>
    <w:tbl>
      <w:tblPr>
        <w:tblStyle w:val="3"/>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
        <w:gridCol w:w="1635"/>
        <w:gridCol w:w="1295"/>
        <w:gridCol w:w="1210"/>
        <w:gridCol w:w="1260"/>
        <w:gridCol w:w="1230"/>
        <w:gridCol w:w="1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504" w:type="dxa"/>
            <w:noWrap w:val="0"/>
            <w:vAlign w:val="center"/>
          </w:tcPr>
          <w:p>
            <w:pPr>
              <w:jc w:val="center"/>
              <w:rPr>
                <w:rFonts w:hint="eastAsia" w:ascii="宋体" w:hAnsi="宋体" w:cs="宋体"/>
                <w:bCs/>
                <w:sz w:val="20"/>
              </w:rPr>
            </w:pPr>
            <w:r>
              <w:rPr>
                <w:rFonts w:hint="eastAsia" w:ascii="宋体" w:hAnsi="宋体" w:cs="宋体"/>
                <w:bCs/>
                <w:sz w:val="20"/>
              </w:rPr>
              <w:t>序号</w:t>
            </w:r>
          </w:p>
        </w:tc>
        <w:tc>
          <w:tcPr>
            <w:tcW w:w="1635" w:type="dxa"/>
            <w:noWrap w:val="0"/>
            <w:vAlign w:val="center"/>
          </w:tcPr>
          <w:p>
            <w:pPr>
              <w:jc w:val="center"/>
              <w:rPr>
                <w:rFonts w:hint="eastAsia" w:ascii="宋体" w:hAnsi="宋体" w:cs="宋体"/>
                <w:bCs/>
                <w:sz w:val="20"/>
              </w:rPr>
            </w:pPr>
            <w:r>
              <w:rPr>
                <w:rFonts w:hint="eastAsia" w:ascii="宋体" w:hAnsi="宋体" w:cs="宋体"/>
                <w:bCs/>
                <w:sz w:val="20"/>
              </w:rPr>
              <w:t>公示项目</w:t>
            </w:r>
          </w:p>
        </w:tc>
        <w:tc>
          <w:tcPr>
            <w:tcW w:w="6381" w:type="dxa"/>
            <w:gridSpan w:val="5"/>
            <w:noWrap w:val="0"/>
            <w:vAlign w:val="center"/>
          </w:tcPr>
          <w:p>
            <w:pPr>
              <w:jc w:val="center"/>
              <w:rPr>
                <w:rFonts w:hint="eastAsia" w:ascii="宋体" w:hAnsi="宋体" w:cs="宋体"/>
                <w:bCs/>
                <w:sz w:val="20"/>
              </w:rPr>
            </w:pPr>
            <w:r>
              <w:rPr>
                <w:rFonts w:hint="eastAsia" w:ascii="宋体" w:hAnsi="宋体" w:cs="宋体"/>
                <w:bCs/>
                <w:sz w:val="20"/>
              </w:rPr>
              <w:t>公示内容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504" w:type="dxa"/>
            <w:noWrap w:val="0"/>
            <w:vAlign w:val="center"/>
          </w:tcPr>
          <w:p>
            <w:pPr>
              <w:jc w:val="center"/>
              <w:rPr>
                <w:rFonts w:hint="eastAsia" w:ascii="宋体" w:hAnsi="宋体" w:cs="宋体"/>
                <w:bCs/>
                <w:sz w:val="20"/>
              </w:rPr>
            </w:pPr>
            <w:r>
              <w:rPr>
                <w:rFonts w:hint="eastAsia" w:ascii="宋体" w:hAnsi="宋体" w:cs="宋体"/>
                <w:bCs/>
                <w:sz w:val="20"/>
              </w:rPr>
              <w:t>1</w:t>
            </w:r>
          </w:p>
        </w:tc>
        <w:tc>
          <w:tcPr>
            <w:tcW w:w="1635" w:type="dxa"/>
            <w:noWrap w:val="0"/>
            <w:vAlign w:val="center"/>
          </w:tcPr>
          <w:p>
            <w:pPr>
              <w:jc w:val="center"/>
              <w:rPr>
                <w:rFonts w:hint="eastAsia" w:ascii="宋体" w:hAnsi="宋体" w:cs="宋体"/>
                <w:bCs/>
                <w:sz w:val="20"/>
              </w:rPr>
            </w:pPr>
            <w:r>
              <w:rPr>
                <w:rFonts w:hint="eastAsia" w:ascii="宋体" w:hAnsi="宋体" w:cs="宋体"/>
                <w:bCs/>
                <w:sz w:val="20"/>
              </w:rPr>
              <w:t>经济行为批准</w:t>
            </w:r>
          </w:p>
          <w:p>
            <w:pPr>
              <w:jc w:val="center"/>
              <w:rPr>
                <w:rFonts w:hint="eastAsia" w:ascii="宋体" w:hAnsi="宋体" w:cs="宋体"/>
                <w:bCs/>
                <w:sz w:val="20"/>
              </w:rPr>
            </w:pPr>
            <w:r>
              <w:rPr>
                <w:rFonts w:hint="eastAsia" w:ascii="宋体" w:hAnsi="宋体" w:cs="宋体"/>
                <w:bCs/>
                <w:sz w:val="20"/>
              </w:rPr>
              <w:t>文件</w:t>
            </w:r>
          </w:p>
        </w:tc>
        <w:tc>
          <w:tcPr>
            <w:tcW w:w="6381" w:type="dxa"/>
            <w:gridSpan w:val="5"/>
            <w:noWrap w:val="0"/>
            <w:vAlign w:val="center"/>
          </w:tcPr>
          <w:p>
            <w:pPr>
              <w:rPr>
                <w:rFonts w:hint="eastAsia" w:ascii="宋体" w:hAnsi="宋体" w:cs="宋体"/>
                <w:bCs/>
                <w:sz w:val="20"/>
              </w:rPr>
            </w:pPr>
            <w:r>
              <w:rPr>
                <w:rFonts w:hint="eastAsia" w:ascii="宋体" w:hAnsi="宋体" w:cs="宋体"/>
                <w:bCs/>
                <w:sz w:val="20"/>
              </w:rPr>
              <w:t>《关于中煤地质集团有限公司转让中煤地科技发展有限公司100%股权立项的批复》（中煤地办发规划[2021]93号）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1" w:hRule="atLeast"/>
        </w:trPr>
        <w:tc>
          <w:tcPr>
            <w:tcW w:w="504" w:type="dxa"/>
            <w:noWrap w:val="0"/>
            <w:vAlign w:val="center"/>
          </w:tcPr>
          <w:p>
            <w:pPr>
              <w:jc w:val="center"/>
              <w:rPr>
                <w:rFonts w:hint="eastAsia" w:ascii="宋体" w:hAnsi="宋体" w:cs="宋体"/>
                <w:bCs/>
                <w:sz w:val="20"/>
              </w:rPr>
            </w:pPr>
            <w:r>
              <w:rPr>
                <w:rFonts w:hint="eastAsia" w:ascii="宋体" w:hAnsi="宋体" w:cs="宋体"/>
                <w:bCs/>
                <w:sz w:val="20"/>
              </w:rPr>
              <w:t>2</w:t>
            </w:r>
          </w:p>
        </w:tc>
        <w:tc>
          <w:tcPr>
            <w:tcW w:w="1635" w:type="dxa"/>
            <w:noWrap w:val="0"/>
            <w:vAlign w:val="center"/>
          </w:tcPr>
          <w:p>
            <w:pPr>
              <w:jc w:val="center"/>
              <w:rPr>
                <w:rFonts w:hint="eastAsia" w:ascii="宋体" w:hAnsi="宋体" w:cs="宋体"/>
                <w:bCs/>
                <w:sz w:val="20"/>
              </w:rPr>
            </w:pPr>
            <w:r>
              <w:rPr>
                <w:rFonts w:hint="eastAsia" w:ascii="宋体" w:hAnsi="宋体" w:cs="宋体"/>
                <w:bCs/>
                <w:sz w:val="20"/>
              </w:rPr>
              <w:t>评估机构选聘</w:t>
            </w:r>
          </w:p>
          <w:p>
            <w:pPr>
              <w:jc w:val="center"/>
              <w:rPr>
                <w:rFonts w:hint="eastAsia" w:ascii="宋体" w:hAnsi="宋体" w:cs="宋体"/>
                <w:bCs/>
                <w:sz w:val="20"/>
              </w:rPr>
            </w:pPr>
            <w:r>
              <w:rPr>
                <w:rFonts w:hint="eastAsia" w:ascii="宋体" w:hAnsi="宋体" w:cs="宋体"/>
                <w:bCs/>
                <w:sz w:val="20"/>
              </w:rPr>
              <w:t>方式</w:t>
            </w:r>
          </w:p>
        </w:tc>
        <w:tc>
          <w:tcPr>
            <w:tcW w:w="6381" w:type="dxa"/>
            <w:gridSpan w:val="5"/>
            <w:noWrap w:val="0"/>
            <w:vAlign w:val="center"/>
          </w:tcPr>
          <w:p>
            <w:pPr>
              <w:rPr>
                <w:rFonts w:hint="eastAsia" w:ascii="宋体" w:hAnsi="宋体" w:cs="宋体"/>
                <w:bCs/>
                <w:sz w:val="20"/>
              </w:rPr>
            </w:pPr>
            <w:r>
              <w:rPr>
                <w:rFonts w:hint="eastAsia" w:ascii="宋体" w:hAnsi="宋体" w:cs="宋体"/>
                <w:bCs/>
                <w:sz w:val="20"/>
              </w:rPr>
              <w:t>总局资产财务部拟定比选通知并发放给总局评估机构备选库中具有资产评估资质的评估机构，并组织相关部门召开评估机构比选会议，对评估机构报送的评估方案进行审查，比选出符合要求的评估机构。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9" w:hRule="atLeast"/>
        </w:trPr>
        <w:tc>
          <w:tcPr>
            <w:tcW w:w="504" w:type="dxa"/>
            <w:noWrap w:val="0"/>
            <w:vAlign w:val="center"/>
          </w:tcPr>
          <w:p>
            <w:pPr>
              <w:jc w:val="center"/>
              <w:rPr>
                <w:rFonts w:hint="eastAsia" w:ascii="宋体" w:hAnsi="宋体" w:cs="宋体"/>
                <w:bCs/>
                <w:sz w:val="20"/>
              </w:rPr>
            </w:pPr>
          </w:p>
          <w:p>
            <w:pPr>
              <w:jc w:val="center"/>
              <w:rPr>
                <w:rFonts w:hint="eastAsia" w:ascii="宋体" w:hAnsi="宋体" w:cs="宋体"/>
                <w:bCs/>
                <w:sz w:val="20"/>
              </w:rPr>
            </w:pPr>
            <w:r>
              <w:rPr>
                <w:rFonts w:hint="eastAsia" w:ascii="宋体" w:hAnsi="宋体" w:cs="宋体"/>
                <w:bCs/>
                <w:sz w:val="20"/>
              </w:rPr>
              <w:t>3</w:t>
            </w:r>
          </w:p>
        </w:tc>
        <w:tc>
          <w:tcPr>
            <w:tcW w:w="1635" w:type="dxa"/>
            <w:noWrap w:val="0"/>
            <w:vAlign w:val="center"/>
          </w:tcPr>
          <w:p>
            <w:pPr>
              <w:jc w:val="center"/>
              <w:rPr>
                <w:rFonts w:hint="eastAsia" w:ascii="宋体" w:hAnsi="宋体" w:cs="宋体"/>
                <w:bCs/>
                <w:sz w:val="20"/>
              </w:rPr>
            </w:pPr>
            <w:r>
              <w:rPr>
                <w:rFonts w:hint="eastAsia" w:ascii="宋体" w:hAnsi="宋体" w:cs="宋体"/>
                <w:bCs/>
                <w:sz w:val="20"/>
              </w:rPr>
              <w:t>评估机构及评估师资质</w:t>
            </w:r>
          </w:p>
        </w:tc>
        <w:tc>
          <w:tcPr>
            <w:tcW w:w="6381" w:type="dxa"/>
            <w:gridSpan w:val="5"/>
            <w:noWrap w:val="0"/>
            <w:vAlign w:val="center"/>
          </w:tcPr>
          <w:p>
            <w:pPr>
              <w:autoSpaceDE w:val="0"/>
              <w:autoSpaceDN w:val="0"/>
              <w:spacing w:before="60" w:after="60" w:line="360" w:lineRule="exact"/>
              <w:textAlignment w:val="bottom"/>
              <w:rPr>
                <w:rFonts w:hint="eastAsia" w:ascii="宋体" w:hAnsi="宋体" w:cs="宋体"/>
                <w:bCs/>
                <w:sz w:val="20"/>
              </w:rPr>
            </w:pPr>
            <w:r>
              <w:rPr>
                <w:rFonts w:ascii="宋体" w:hAnsi="宋体" w:cs="宋体"/>
                <w:bCs/>
                <w:sz w:val="20"/>
              </w:rPr>
              <w:t>北京中天华资产评估有限责任公司</w:t>
            </w:r>
            <w:r>
              <w:rPr>
                <w:rFonts w:hint="eastAsia" w:ascii="宋体" w:hAnsi="宋体" w:cs="宋体"/>
                <w:bCs/>
                <w:sz w:val="20"/>
              </w:rPr>
              <w:t>，王洪琴11150062，刘敏21070072。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5" w:hRule="atLeast"/>
        </w:trPr>
        <w:tc>
          <w:tcPr>
            <w:tcW w:w="504" w:type="dxa"/>
            <w:noWrap w:val="0"/>
            <w:vAlign w:val="center"/>
          </w:tcPr>
          <w:p>
            <w:pPr>
              <w:jc w:val="center"/>
              <w:rPr>
                <w:rFonts w:hint="eastAsia" w:ascii="宋体" w:hAnsi="宋体" w:cs="宋体"/>
                <w:bCs/>
                <w:sz w:val="20"/>
              </w:rPr>
            </w:pPr>
            <w:r>
              <w:rPr>
                <w:rFonts w:hint="eastAsia" w:ascii="宋体" w:hAnsi="宋体" w:cs="宋体"/>
                <w:bCs/>
                <w:sz w:val="20"/>
              </w:rPr>
              <w:t>4</w:t>
            </w:r>
          </w:p>
        </w:tc>
        <w:tc>
          <w:tcPr>
            <w:tcW w:w="1635" w:type="dxa"/>
            <w:noWrap w:val="0"/>
            <w:vAlign w:val="center"/>
          </w:tcPr>
          <w:p>
            <w:pPr>
              <w:jc w:val="center"/>
              <w:rPr>
                <w:rFonts w:hint="eastAsia" w:ascii="宋体" w:hAnsi="宋体" w:cs="宋体"/>
                <w:bCs/>
                <w:sz w:val="20"/>
              </w:rPr>
            </w:pPr>
            <w:r>
              <w:rPr>
                <w:rFonts w:hint="eastAsia" w:ascii="宋体" w:hAnsi="宋体" w:cs="宋体"/>
                <w:bCs/>
                <w:sz w:val="20"/>
              </w:rPr>
              <w:t>评估程序履行及独立第三方评估机构审核情况</w:t>
            </w:r>
          </w:p>
        </w:tc>
        <w:tc>
          <w:tcPr>
            <w:tcW w:w="6381" w:type="dxa"/>
            <w:gridSpan w:val="5"/>
            <w:noWrap w:val="0"/>
            <w:vAlign w:val="center"/>
          </w:tcPr>
          <w:p>
            <w:pPr>
              <w:jc w:val="left"/>
              <w:rPr>
                <w:rFonts w:hint="eastAsia" w:ascii="宋体" w:hAnsi="宋体" w:cs="宋体"/>
                <w:bCs/>
                <w:sz w:val="20"/>
              </w:rPr>
            </w:pPr>
            <w:r>
              <w:rPr>
                <w:rFonts w:hint="eastAsia" w:ascii="宋体" w:hAnsi="宋体" w:cs="宋体"/>
                <w:bCs/>
                <w:sz w:val="20"/>
              </w:rPr>
              <w:t>总局选聘</w:t>
            </w:r>
            <w:r>
              <w:rPr>
                <w:rFonts w:ascii="宋体" w:hAnsi="宋体" w:cs="宋体"/>
                <w:bCs/>
                <w:sz w:val="20"/>
              </w:rPr>
              <w:t>北京中天华资产评估有限责任公司</w:t>
            </w:r>
            <w:r>
              <w:rPr>
                <w:rFonts w:hint="eastAsia" w:ascii="宋体" w:hAnsi="宋体" w:cs="宋体"/>
                <w:bCs/>
                <w:sz w:val="20"/>
              </w:rPr>
              <w:t>对中煤地科技发展有限公司开展评估工作，</w:t>
            </w:r>
            <w:r>
              <w:rPr>
                <w:rFonts w:hint="eastAsia" w:ascii="宋体" w:hAnsi="宋体" w:cs="宋体"/>
                <w:bCs/>
                <w:sz w:val="20"/>
                <w:lang w:eastAsia="zh-CN"/>
              </w:rPr>
              <w:t>并</w:t>
            </w:r>
            <w:r>
              <w:rPr>
                <w:rFonts w:hint="eastAsia" w:ascii="宋体" w:hAnsi="宋体" w:cs="宋体"/>
                <w:bCs/>
                <w:sz w:val="20"/>
              </w:rPr>
              <w:t>对评估报告初稿进行了审核并出具了审核意见，直至审核无异议。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2" w:hRule="atLeast"/>
        </w:trPr>
        <w:tc>
          <w:tcPr>
            <w:tcW w:w="504" w:type="dxa"/>
            <w:noWrap w:val="0"/>
            <w:vAlign w:val="center"/>
          </w:tcPr>
          <w:p>
            <w:pPr>
              <w:jc w:val="center"/>
              <w:rPr>
                <w:rFonts w:hint="eastAsia" w:ascii="宋体" w:hAnsi="宋体" w:cs="宋体"/>
                <w:bCs/>
                <w:sz w:val="20"/>
              </w:rPr>
            </w:pPr>
            <w:r>
              <w:rPr>
                <w:rFonts w:hint="eastAsia" w:ascii="宋体" w:hAnsi="宋体" w:cs="宋体"/>
                <w:bCs/>
                <w:sz w:val="20"/>
              </w:rPr>
              <w:t>5</w:t>
            </w:r>
          </w:p>
        </w:tc>
        <w:tc>
          <w:tcPr>
            <w:tcW w:w="1635" w:type="dxa"/>
            <w:noWrap w:val="0"/>
            <w:vAlign w:val="center"/>
          </w:tcPr>
          <w:p>
            <w:pPr>
              <w:jc w:val="center"/>
              <w:rPr>
                <w:rFonts w:hint="eastAsia" w:ascii="宋体" w:hAnsi="宋体" w:cs="宋体"/>
                <w:bCs/>
                <w:sz w:val="20"/>
              </w:rPr>
            </w:pPr>
            <w:r>
              <w:rPr>
                <w:rFonts w:hint="eastAsia" w:ascii="宋体" w:hAnsi="宋体" w:cs="宋体"/>
                <w:bCs/>
                <w:sz w:val="20"/>
              </w:rPr>
              <w:t>评估报告摘要和特别事项说明</w:t>
            </w:r>
          </w:p>
        </w:tc>
        <w:tc>
          <w:tcPr>
            <w:tcW w:w="6381" w:type="dxa"/>
            <w:gridSpan w:val="5"/>
            <w:noWrap w:val="0"/>
            <w:vAlign w:val="center"/>
          </w:tcPr>
          <w:p>
            <w:pPr>
              <w:jc w:val="left"/>
              <w:rPr>
                <w:rFonts w:hint="eastAsia" w:ascii="宋体" w:hAnsi="宋体" w:cs="宋体"/>
                <w:bCs/>
                <w:sz w:val="20"/>
              </w:rPr>
            </w:pPr>
            <w:r>
              <w:rPr>
                <w:rFonts w:ascii="宋体" w:hAnsi="宋体" w:cs="宋体"/>
                <w:bCs/>
                <w:sz w:val="20"/>
              </w:rPr>
              <w:t>北京中天华资产评估有限责任公司</w:t>
            </w:r>
            <w:r>
              <w:rPr>
                <w:rFonts w:hint="eastAsia" w:ascii="宋体" w:hAnsi="宋体" w:cs="宋体"/>
                <w:bCs/>
                <w:sz w:val="20"/>
              </w:rPr>
              <w:t>接受总局的委托，对中煤地科技发展有限公司于2021年9月30日的市场价值开展资产评估。</w:t>
            </w:r>
            <w:r>
              <w:rPr>
                <w:rFonts w:ascii="宋体" w:hAnsi="宋体" w:cs="宋体"/>
                <w:bCs/>
                <w:sz w:val="20"/>
              </w:rPr>
              <w:t>本次资产评估目的是反映</w:t>
            </w:r>
            <w:r>
              <w:rPr>
                <w:rFonts w:hint="eastAsia" w:ascii="宋体" w:hAnsi="宋体" w:cs="宋体"/>
                <w:bCs/>
                <w:sz w:val="20"/>
              </w:rPr>
              <w:t>中煤地科技发展有限公司</w:t>
            </w:r>
            <w:r>
              <w:rPr>
                <w:rFonts w:ascii="宋体" w:hAnsi="宋体" w:cs="宋体"/>
                <w:bCs/>
                <w:sz w:val="20"/>
              </w:rPr>
              <w:t>全部权益</w:t>
            </w:r>
            <w:r>
              <w:rPr>
                <w:rFonts w:hint="eastAsia" w:ascii="宋体" w:hAnsi="宋体" w:cs="宋体"/>
                <w:bCs/>
                <w:sz w:val="20"/>
              </w:rPr>
              <w:t>在</w:t>
            </w:r>
            <w:r>
              <w:rPr>
                <w:rFonts w:ascii="宋体" w:hAnsi="宋体" w:cs="宋体"/>
                <w:bCs/>
                <w:sz w:val="20"/>
              </w:rPr>
              <w:t>评估基准日的市场价值</w:t>
            </w:r>
            <w:r>
              <w:rPr>
                <w:rFonts w:hint="eastAsia" w:ascii="宋体" w:hAnsi="宋体" w:cs="宋体"/>
                <w:bCs/>
                <w:sz w:val="20"/>
              </w:rPr>
              <w:t>。本项目对委估范围内的全部资产及负债的资料收集完整，本次评估对中煤地科技发展有限公司采用资产基础法进行评估，并得出评估结果。在评估基准日2021年9月30日，中煤地科技发展有限公司净资产账面价值为7,014.05万元，评估值为 7,002.29万元，评估减值11.76万元。 减值原因是无形资产土地剩余年限减少评估减值。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trPr>
        <w:tc>
          <w:tcPr>
            <w:tcW w:w="504" w:type="dxa"/>
            <w:vMerge w:val="restart"/>
            <w:noWrap w:val="0"/>
            <w:vAlign w:val="center"/>
          </w:tcPr>
          <w:p>
            <w:pPr>
              <w:jc w:val="center"/>
              <w:rPr>
                <w:rFonts w:hint="eastAsia" w:ascii="宋体" w:hAnsi="宋体" w:cs="宋体"/>
                <w:bCs/>
                <w:sz w:val="20"/>
              </w:rPr>
            </w:pPr>
            <w:r>
              <w:rPr>
                <w:rFonts w:hint="eastAsia" w:ascii="宋体" w:hAnsi="宋体" w:cs="宋体"/>
                <w:bCs/>
                <w:sz w:val="20"/>
              </w:rPr>
              <w:t>6</w:t>
            </w:r>
          </w:p>
        </w:tc>
        <w:tc>
          <w:tcPr>
            <w:tcW w:w="1635" w:type="dxa"/>
            <w:vMerge w:val="restart"/>
            <w:noWrap w:val="0"/>
            <w:vAlign w:val="center"/>
          </w:tcPr>
          <w:p>
            <w:pPr>
              <w:jc w:val="center"/>
              <w:rPr>
                <w:rFonts w:hint="eastAsia" w:ascii="宋体" w:hAnsi="宋体" w:cs="宋体"/>
                <w:bCs/>
                <w:sz w:val="20"/>
              </w:rPr>
            </w:pPr>
            <w:r>
              <w:rPr>
                <w:rFonts w:hint="eastAsia" w:ascii="宋体" w:hAnsi="宋体" w:cs="宋体"/>
                <w:bCs/>
                <w:sz w:val="20"/>
              </w:rPr>
              <w:t>评估结果汇总表</w:t>
            </w:r>
          </w:p>
          <w:p>
            <w:pPr>
              <w:jc w:val="center"/>
              <w:rPr>
                <w:rFonts w:hint="eastAsia" w:ascii="宋体" w:hAnsi="宋体" w:cs="宋体"/>
                <w:bCs/>
                <w:sz w:val="20"/>
              </w:rPr>
            </w:pPr>
            <w:r>
              <w:rPr>
                <w:rFonts w:hint="eastAsia" w:ascii="宋体" w:hAnsi="宋体" w:cs="宋体"/>
                <w:bCs/>
                <w:sz w:val="20"/>
              </w:rPr>
              <w:t>（单位：万元）</w:t>
            </w:r>
          </w:p>
        </w:tc>
        <w:tc>
          <w:tcPr>
            <w:tcW w:w="1295" w:type="dxa"/>
            <w:noWrap w:val="0"/>
            <w:vAlign w:val="center"/>
          </w:tcPr>
          <w:p>
            <w:pPr>
              <w:jc w:val="center"/>
              <w:rPr>
                <w:rFonts w:hint="eastAsia" w:ascii="宋体" w:hAnsi="宋体" w:cs="宋体"/>
                <w:bCs/>
                <w:sz w:val="20"/>
              </w:rPr>
            </w:pPr>
            <w:r>
              <w:rPr>
                <w:rFonts w:hint="eastAsia" w:ascii="宋体" w:hAnsi="宋体" w:cs="宋体"/>
                <w:bCs/>
                <w:sz w:val="20"/>
              </w:rPr>
              <w:t>项  目</w:t>
            </w:r>
          </w:p>
        </w:tc>
        <w:tc>
          <w:tcPr>
            <w:tcW w:w="1210" w:type="dxa"/>
            <w:noWrap w:val="0"/>
            <w:vAlign w:val="center"/>
          </w:tcPr>
          <w:p>
            <w:pPr>
              <w:jc w:val="center"/>
              <w:rPr>
                <w:rFonts w:hint="eastAsia" w:ascii="宋体" w:hAnsi="宋体" w:cs="宋体"/>
                <w:bCs/>
                <w:sz w:val="20"/>
              </w:rPr>
            </w:pPr>
            <w:r>
              <w:rPr>
                <w:rFonts w:hint="eastAsia" w:ascii="宋体" w:hAnsi="宋体" w:cs="宋体"/>
                <w:bCs/>
                <w:sz w:val="20"/>
              </w:rPr>
              <w:t>账面价值</w:t>
            </w:r>
          </w:p>
        </w:tc>
        <w:tc>
          <w:tcPr>
            <w:tcW w:w="1260" w:type="dxa"/>
            <w:noWrap w:val="0"/>
            <w:vAlign w:val="center"/>
          </w:tcPr>
          <w:p>
            <w:pPr>
              <w:jc w:val="center"/>
              <w:rPr>
                <w:rFonts w:hint="eastAsia" w:ascii="宋体" w:hAnsi="宋体" w:cs="宋体"/>
                <w:bCs/>
                <w:sz w:val="20"/>
              </w:rPr>
            </w:pPr>
            <w:r>
              <w:rPr>
                <w:rFonts w:hint="eastAsia" w:ascii="宋体" w:hAnsi="宋体" w:cs="宋体"/>
                <w:bCs/>
                <w:sz w:val="20"/>
              </w:rPr>
              <w:t>评估值</w:t>
            </w:r>
          </w:p>
        </w:tc>
        <w:tc>
          <w:tcPr>
            <w:tcW w:w="1230" w:type="dxa"/>
            <w:noWrap w:val="0"/>
            <w:vAlign w:val="center"/>
          </w:tcPr>
          <w:p>
            <w:pPr>
              <w:jc w:val="center"/>
              <w:rPr>
                <w:rFonts w:hint="eastAsia" w:ascii="宋体" w:hAnsi="宋体" w:cs="宋体"/>
                <w:bCs/>
                <w:sz w:val="20"/>
              </w:rPr>
            </w:pPr>
            <w:r>
              <w:rPr>
                <w:rFonts w:hint="eastAsia" w:ascii="宋体" w:hAnsi="宋体" w:cs="宋体"/>
                <w:bCs/>
                <w:sz w:val="20"/>
              </w:rPr>
              <w:t>增值额</w:t>
            </w:r>
          </w:p>
        </w:tc>
        <w:tc>
          <w:tcPr>
            <w:tcW w:w="1386" w:type="dxa"/>
            <w:noWrap w:val="0"/>
            <w:vAlign w:val="center"/>
          </w:tcPr>
          <w:p>
            <w:pPr>
              <w:jc w:val="center"/>
              <w:rPr>
                <w:rFonts w:hint="eastAsia" w:ascii="宋体" w:hAnsi="宋体" w:cs="宋体"/>
                <w:bCs/>
                <w:sz w:val="20"/>
              </w:rPr>
            </w:pPr>
            <w:r>
              <w:rPr>
                <w:rFonts w:hint="eastAsia" w:ascii="宋体" w:hAnsi="宋体" w:cs="宋体"/>
                <w:bCs/>
                <w:sz w:val="20"/>
              </w:rPr>
              <w:t>增值率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504" w:type="dxa"/>
            <w:vMerge w:val="continue"/>
            <w:noWrap w:val="0"/>
            <w:vAlign w:val="center"/>
          </w:tcPr>
          <w:p>
            <w:pPr>
              <w:jc w:val="center"/>
              <w:rPr>
                <w:rFonts w:hint="eastAsia" w:ascii="宋体" w:hAnsi="宋体" w:cs="宋体"/>
                <w:bCs/>
                <w:sz w:val="20"/>
              </w:rPr>
            </w:pPr>
          </w:p>
        </w:tc>
        <w:tc>
          <w:tcPr>
            <w:tcW w:w="1635" w:type="dxa"/>
            <w:vMerge w:val="continue"/>
            <w:noWrap w:val="0"/>
            <w:vAlign w:val="center"/>
          </w:tcPr>
          <w:p>
            <w:pPr>
              <w:jc w:val="center"/>
              <w:rPr>
                <w:rFonts w:hint="eastAsia" w:ascii="宋体" w:hAnsi="宋体" w:cs="宋体"/>
                <w:bCs/>
                <w:sz w:val="20"/>
              </w:rPr>
            </w:pPr>
          </w:p>
        </w:tc>
        <w:tc>
          <w:tcPr>
            <w:tcW w:w="1295" w:type="dxa"/>
            <w:noWrap w:val="0"/>
            <w:vAlign w:val="center"/>
          </w:tcPr>
          <w:p>
            <w:pPr>
              <w:jc w:val="center"/>
              <w:rPr>
                <w:rFonts w:hint="eastAsia" w:ascii="宋体" w:hAnsi="宋体" w:cs="宋体"/>
                <w:bCs/>
                <w:sz w:val="20"/>
              </w:rPr>
            </w:pPr>
            <w:r>
              <w:rPr>
                <w:rFonts w:hint="eastAsia" w:ascii="宋体" w:hAnsi="宋体" w:cs="宋体"/>
                <w:bCs/>
                <w:sz w:val="20"/>
              </w:rPr>
              <w:t>资产总额</w:t>
            </w:r>
          </w:p>
        </w:tc>
        <w:tc>
          <w:tcPr>
            <w:tcW w:w="1210" w:type="dxa"/>
            <w:noWrap w:val="0"/>
            <w:vAlign w:val="center"/>
          </w:tcPr>
          <w:p>
            <w:pPr>
              <w:widowControl/>
              <w:jc w:val="center"/>
              <w:rPr>
                <w:rFonts w:hint="eastAsia" w:ascii="宋体" w:hAnsi="宋体" w:cs="宋体"/>
                <w:bCs/>
                <w:sz w:val="20"/>
              </w:rPr>
            </w:pPr>
            <w:r>
              <w:rPr>
                <w:rFonts w:ascii="宋体" w:hAnsi="宋体" w:cs="宋体"/>
                <w:bCs/>
                <w:sz w:val="20"/>
              </w:rPr>
              <w:t>7,052.9</w:t>
            </w:r>
            <w:r>
              <w:rPr>
                <w:rFonts w:hint="eastAsia" w:ascii="宋体" w:hAnsi="宋体" w:cs="宋体"/>
                <w:bCs/>
                <w:sz w:val="20"/>
              </w:rPr>
              <w:t>2</w:t>
            </w:r>
          </w:p>
        </w:tc>
        <w:tc>
          <w:tcPr>
            <w:tcW w:w="1260" w:type="dxa"/>
            <w:noWrap w:val="0"/>
            <w:vAlign w:val="center"/>
          </w:tcPr>
          <w:p>
            <w:pPr>
              <w:widowControl/>
              <w:jc w:val="center"/>
              <w:rPr>
                <w:rFonts w:hint="eastAsia" w:ascii="宋体" w:hAnsi="宋体" w:cs="宋体"/>
                <w:bCs/>
                <w:sz w:val="20"/>
              </w:rPr>
            </w:pPr>
            <w:r>
              <w:rPr>
                <w:rFonts w:ascii="宋体" w:hAnsi="宋体" w:cs="宋体"/>
                <w:bCs/>
                <w:sz w:val="20"/>
              </w:rPr>
              <w:t>7,041.16</w:t>
            </w:r>
          </w:p>
        </w:tc>
        <w:tc>
          <w:tcPr>
            <w:tcW w:w="1230" w:type="dxa"/>
            <w:noWrap w:val="0"/>
            <w:vAlign w:val="center"/>
          </w:tcPr>
          <w:p>
            <w:pPr>
              <w:widowControl/>
              <w:jc w:val="center"/>
              <w:rPr>
                <w:rFonts w:hint="eastAsia" w:ascii="宋体" w:hAnsi="宋体" w:cs="宋体"/>
                <w:bCs/>
                <w:sz w:val="20"/>
              </w:rPr>
            </w:pPr>
            <w:r>
              <w:rPr>
                <w:rFonts w:ascii="宋体" w:hAnsi="宋体" w:cs="宋体"/>
                <w:bCs/>
                <w:sz w:val="20"/>
              </w:rPr>
              <w:t>-11.76</w:t>
            </w:r>
          </w:p>
        </w:tc>
        <w:tc>
          <w:tcPr>
            <w:tcW w:w="1386" w:type="dxa"/>
            <w:noWrap w:val="0"/>
            <w:vAlign w:val="center"/>
          </w:tcPr>
          <w:p>
            <w:pPr>
              <w:widowControl/>
              <w:jc w:val="center"/>
              <w:rPr>
                <w:rFonts w:hint="eastAsia" w:ascii="宋体" w:hAnsi="宋体" w:cs="宋体"/>
                <w:bCs/>
                <w:sz w:val="20"/>
              </w:rPr>
            </w:pPr>
            <w:r>
              <w:rPr>
                <w:rFonts w:ascii="宋体" w:hAnsi="宋体" w:cs="宋体"/>
                <w:bCs/>
                <w:sz w:val="20"/>
              </w:rPr>
              <w:t>-0.17%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trPr>
        <w:tc>
          <w:tcPr>
            <w:tcW w:w="504" w:type="dxa"/>
            <w:vMerge w:val="continue"/>
            <w:noWrap w:val="0"/>
            <w:vAlign w:val="center"/>
          </w:tcPr>
          <w:p>
            <w:pPr>
              <w:jc w:val="center"/>
              <w:rPr>
                <w:rFonts w:hint="eastAsia" w:ascii="宋体" w:hAnsi="宋体" w:cs="宋体"/>
                <w:bCs/>
                <w:sz w:val="20"/>
              </w:rPr>
            </w:pPr>
          </w:p>
        </w:tc>
        <w:tc>
          <w:tcPr>
            <w:tcW w:w="1635" w:type="dxa"/>
            <w:vMerge w:val="continue"/>
            <w:noWrap w:val="0"/>
            <w:vAlign w:val="center"/>
          </w:tcPr>
          <w:p>
            <w:pPr>
              <w:jc w:val="center"/>
              <w:rPr>
                <w:rFonts w:hint="eastAsia" w:ascii="宋体" w:hAnsi="宋体" w:cs="宋体"/>
                <w:bCs/>
                <w:sz w:val="20"/>
              </w:rPr>
            </w:pPr>
          </w:p>
        </w:tc>
        <w:tc>
          <w:tcPr>
            <w:tcW w:w="1295" w:type="dxa"/>
            <w:noWrap w:val="0"/>
            <w:vAlign w:val="center"/>
          </w:tcPr>
          <w:p>
            <w:pPr>
              <w:jc w:val="center"/>
              <w:rPr>
                <w:rFonts w:hint="eastAsia" w:ascii="宋体" w:hAnsi="宋体" w:cs="宋体"/>
                <w:bCs/>
                <w:sz w:val="20"/>
              </w:rPr>
            </w:pPr>
            <w:r>
              <w:rPr>
                <w:rFonts w:hint="eastAsia" w:ascii="宋体" w:hAnsi="宋体" w:cs="宋体"/>
                <w:bCs/>
                <w:sz w:val="20"/>
              </w:rPr>
              <w:t>负债总额</w:t>
            </w:r>
          </w:p>
        </w:tc>
        <w:tc>
          <w:tcPr>
            <w:tcW w:w="1210" w:type="dxa"/>
            <w:noWrap w:val="0"/>
            <w:vAlign w:val="center"/>
          </w:tcPr>
          <w:p>
            <w:pPr>
              <w:widowControl/>
              <w:jc w:val="center"/>
              <w:rPr>
                <w:rFonts w:hint="eastAsia" w:ascii="宋体" w:hAnsi="宋体" w:cs="宋体"/>
                <w:bCs/>
                <w:sz w:val="20"/>
              </w:rPr>
            </w:pPr>
            <w:r>
              <w:rPr>
                <w:rFonts w:ascii="宋体" w:hAnsi="宋体" w:cs="宋体"/>
                <w:bCs/>
                <w:sz w:val="20"/>
              </w:rPr>
              <w:t>38.87</w:t>
            </w:r>
          </w:p>
        </w:tc>
        <w:tc>
          <w:tcPr>
            <w:tcW w:w="1260" w:type="dxa"/>
            <w:noWrap w:val="0"/>
            <w:vAlign w:val="center"/>
          </w:tcPr>
          <w:p>
            <w:pPr>
              <w:widowControl/>
              <w:jc w:val="center"/>
              <w:rPr>
                <w:rFonts w:hint="eastAsia" w:ascii="宋体" w:hAnsi="宋体" w:cs="宋体"/>
                <w:bCs/>
                <w:sz w:val="20"/>
              </w:rPr>
            </w:pPr>
            <w:r>
              <w:rPr>
                <w:rFonts w:ascii="宋体" w:hAnsi="宋体" w:cs="宋体"/>
                <w:bCs/>
                <w:sz w:val="20"/>
              </w:rPr>
              <w:t>38.87</w:t>
            </w:r>
          </w:p>
        </w:tc>
        <w:tc>
          <w:tcPr>
            <w:tcW w:w="1230" w:type="dxa"/>
            <w:noWrap w:val="0"/>
            <w:vAlign w:val="center"/>
          </w:tcPr>
          <w:p>
            <w:pPr>
              <w:widowControl/>
              <w:jc w:val="center"/>
              <w:rPr>
                <w:rFonts w:hint="eastAsia" w:ascii="宋体" w:hAnsi="宋体" w:cs="宋体"/>
                <w:bCs/>
                <w:sz w:val="20"/>
              </w:rPr>
            </w:pPr>
            <w:r>
              <w:rPr>
                <w:rFonts w:hint="eastAsia" w:ascii="宋体" w:hAnsi="宋体" w:cs="宋体"/>
                <w:bCs/>
                <w:sz w:val="20"/>
              </w:rPr>
              <w:t>0.00</w:t>
            </w:r>
          </w:p>
        </w:tc>
        <w:tc>
          <w:tcPr>
            <w:tcW w:w="1386" w:type="dxa"/>
            <w:noWrap w:val="0"/>
            <w:vAlign w:val="center"/>
          </w:tcPr>
          <w:p>
            <w:pPr>
              <w:widowControl/>
              <w:jc w:val="center"/>
              <w:rPr>
                <w:rFonts w:hint="eastAsia" w:ascii="宋体" w:hAnsi="宋体" w:cs="宋体"/>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trPr>
        <w:tc>
          <w:tcPr>
            <w:tcW w:w="504" w:type="dxa"/>
            <w:vMerge w:val="continue"/>
            <w:noWrap w:val="0"/>
            <w:vAlign w:val="center"/>
          </w:tcPr>
          <w:p>
            <w:pPr>
              <w:jc w:val="center"/>
              <w:rPr>
                <w:rFonts w:hint="eastAsia" w:ascii="宋体" w:hAnsi="宋体" w:cs="宋体"/>
                <w:bCs/>
                <w:sz w:val="20"/>
              </w:rPr>
            </w:pPr>
          </w:p>
        </w:tc>
        <w:tc>
          <w:tcPr>
            <w:tcW w:w="1635" w:type="dxa"/>
            <w:vMerge w:val="continue"/>
            <w:noWrap w:val="0"/>
            <w:vAlign w:val="center"/>
          </w:tcPr>
          <w:p>
            <w:pPr>
              <w:jc w:val="center"/>
              <w:rPr>
                <w:rFonts w:hint="eastAsia" w:ascii="宋体" w:hAnsi="宋体" w:cs="宋体"/>
                <w:bCs/>
                <w:sz w:val="20"/>
              </w:rPr>
            </w:pPr>
          </w:p>
        </w:tc>
        <w:tc>
          <w:tcPr>
            <w:tcW w:w="1295" w:type="dxa"/>
            <w:noWrap w:val="0"/>
            <w:vAlign w:val="center"/>
          </w:tcPr>
          <w:p>
            <w:pPr>
              <w:jc w:val="center"/>
              <w:rPr>
                <w:rFonts w:hint="eastAsia" w:ascii="宋体" w:hAnsi="宋体" w:cs="宋体"/>
                <w:bCs/>
                <w:sz w:val="20"/>
              </w:rPr>
            </w:pPr>
            <w:r>
              <w:rPr>
                <w:rFonts w:hint="eastAsia" w:ascii="宋体" w:hAnsi="宋体" w:cs="宋体"/>
                <w:bCs/>
                <w:sz w:val="20"/>
              </w:rPr>
              <w:t>净 资 产</w:t>
            </w:r>
          </w:p>
        </w:tc>
        <w:tc>
          <w:tcPr>
            <w:tcW w:w="1210" w:type="dxa"/>
            <w:noWrap w:val="0"/>
            <w:vAlign w:val="center"/>
          </w:tcPr>
          <w:p>
            <w:pPr>
              <w:widowControl/>
              <w:jc w:val="center"/>
              <w:rPr>
                <w:rFonts w:hint="eastAsia" w:ascii="宋体" w:hAnsi="宋体" w:cs="宋体"/>
                <w:bCs/>
                <w:sz w:val="20"/>
              </w:rPr>
            </w:pPr>
            <w:r>
              <w:rPr>
                <w:rFonts w:ascii="宋体" w:hAnsi="宋体" w:cs="宋体"/>
                <w:bCs/>
                <w:sz w:val="20"/>
              </w:rPr>
              <w:t>7,014.0</w:t>
            </w:r>
            <w:r>
              <w:rPr>
                <w:rFonts w:hint="eastAsia" w:ascii="宋体" w:hAnsi="宋体" w:cs="宋体"/>
                <w:bCs/>
                <w:sz w:val="20"/>
              </w:rPr>
              <w:t>5</w:t>
            </w:r>
          </w:p>
        </w:tc>
        <w:tc>
          <w:tcPr>
            <w:tcW w:w="1260" w:type="dxa"/>
            <w:noWrap w:val="0"/>
            <w:vAlign w:val="center"/>
          </w:tcPr>
          <w:p>
            <w:pPr>
              <w:widowControl/>
              <w:jc w:val="center"/>
              <w:rPr>
                <w:rFonts w:hint="eastAsia" w:ascii="宋体" w:hAnsi="宋体" w:cs="宋体"/>
                <w:bCs/>
                <w:sz w:val="20"/>
              </w:rPr>
            </w:pPr>
            <w:r>
              <w:rPr>
                <w:rFonts w:ascii="宋体" w:hAnsi="宋体" w:cs="宋体"/>
                <w:bCs/>
                <w:sz w:val="20"/>
              </w:rPr>
              <w:t>7,002.29</w:t>
            </w:r>
          </w:p>
        </w:tc>
        <w:tc>
          <w:tcPr>
            <w:tcW w:w="1230" w:type="dxa"/>
            <w:noWrap w:val="0"/>
            <w:vAlign w:val="center"/>
          </w:tcPr>
          <w:p>
            <w:pPr>
              <w:widowControl/>
              <w:jc w:val="center"/>
              <w:rPr>
                <w:rFonts w:hint="eastAsia" w:ascii="宋体" w:hAnsi="宋体" w:cs="宋体"/>
                <w:bCs/>
                <w:sz w:val="20"/>
              </w:rPr>
            </w:pPr>
            <w:r>
              <w:rPr>
                <w:rFonts w:ascii="宋体" w:hAnsi="宋体" w:cs="宋体"/>
                <w:bCs/>
                <w:sz w:val="20"/>
              </w:rPr>
              <w:t>-11.76</w:t>
            </w:r>
          </w:p>
        </w:tc>
        <w:tc>
          <w:tcPr>
            <w:tcW w:w="1386" w:type="dxa"/>
            <w:noWrap w:val="0"/>
            <w:vAlign w:val="center"/>
          </w:tcPr>
          <w:p>
            <w:pPr>
              <w:widowControl/>
              <w:jc w:val="center"/>
              <w:rPr>
                <w:rFonts w:hint="eastAsia" w:ascii="宋体" w:hAnsi="宋体" w:cs="宋体"/>
                <w:bCs/>
                <w:sz w:val="20"/>
              </w:rPr>
            </w:pPr>
            <w:r>
              <w:rPr>
                <w:rFonts w:ascii="宋体" w:hAnsi="宋体" w:cs="宋体"/>
                <w:bCs/>
                <w:sz w:val="20"/>
              </w:rPr>
              <w:t>-0.17%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6" w:hRule="atLeast"/>
        </w:trPr>
        <w:tc>
          <w:tcPr>
            <w:tcW w:w="504" w:type="dxa"/>
            <w:noWrap w:val="0"/>
            <w:vAlign w:val="center"/>
          </w:tcPr>
          <w:p>
            <w:pPr>
              <w:jc w:val="center"/>
              <w:rPr>
                <w:rFonts w:hint="eastAsia" w:ascii="宋体" w:hAnsi="宋体" w:cs="宋体"/>
                <w:bCs/>
                <w:sz w:val="20"/>
              </w:rPr>
            </w:pPr>
            <w:r>
              <w:rPr>
                <w:rFonts w:hint="eastAsia" w:ascii="宋体" w:hAnsi="宋体" w:cs="宋体"/>
                <w:bCs/>
                <w:sz w:val="20"/>
              </w:rPr>
              <w:t>7</w:t>
            </w:r>
          </w:p>
        </w:tc>
        <w:tc>
          <w:tcPr>
            <w:tcW w:w="1635" w:type="dxa"/>
            <w:noWrap w:val="0"/>
            <w:vAlign w:val="center"/>
          </w:tcPr>
          <w:p>
            <w:pPr>
              <w:jc w:val="center"/>
              <w:rPr>
                <w:rFonts w:hint="eastAsia" w:ascii="宋体" w:hAnsi="宋体" w:cs="宋体"/>
                <w:bCs/>
                <w:sz w:val="20"/>
              </w:rPr>
            </w:pPr>
            <w:r>
              <w:rPr>
                <w:rFonts w:hint="eastAsia" w:ascii="宋体" w:hAnsi="宋体" w:cs="宋体"/>
                <w:bCs/>
                <w:sz w:val="20"/>
              </w:rPr>
              <w:t>评估资料查阅</w:t>
            </w:r>
          </w:p>
          <w:p>
            <w:pPr>
              <w:jc w:val="center"/>
              <w:rPr>
                <w:rFonts w:hint="eastAsia" w:ascii="宋体" w:hAnsi="宋体" w:cs="宋体"/>
                <w:bCs/>
                <w:sz w:val="20"/>
              </w:rPr>
            </w:pPr>
            <w:r>
              <w:rPr>
                <w:rFonts w:hint="eastAsia" w:ascii="宋体" w:hAnsi="宋体" w:cs="宋体"/>
                <w:bCs/>
                <w:sz w:val="20"/>
              </w:rPr>
              <w:t>方式</w:t>
            </w:r>
          </w:p>
        </w:tc>
        <w:tc>
          <w:tcPr>
            <w:tcW w:w="6381" w:type="dxa"/>
            <w:gridSpan w:val="5"/>
            <w:noWrap w:val="0"/>
            <w:vAlign w:val="center"/>
          </w:tcPr>
          <w:p>
            <w:pPr>
              <w:jc w:val="left"/>
              <w:rPr>
                <w:rFonts w:hint="eastAsia" w:ascii="宋体" w:hAnsi="宋体" w:cs="宋体"/>
                <w:bCs/>
                <w:sz w:val="20"/>
              </w:rPr>
            </w:pPr>
            <w:r>
              <w:rPr>
                <w:rFonts w:hint="eastAsia" w:ascii="宋体" w:hAnsi="宋体" w:cs="宋体"/>
                <w:bCs/>
                <w:sz w:val="20"/>
              </w:rPr>
              <w:t>评估批复、比选评估机构方案、评估报告初稿及审核意见等纸质及电子资料在资产财务部资产管理处。</w:t>
            </w:r>
          </w:p>
        </w:tc>
      </w:tr>
    </w:tbl>
    <w:p>
      <w:pPr>
        <w:rPr>
          <w:rFonts w:hint="eastAsia" w:ascii="宋体" w:hAnsi="宋体" w:cs="宋体"/>
          <w:bCs/>
          <w:sz w:val="20"/>
        </w:rPr>
      </w:pP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956B5B"/>
    <w:rsid w:val="04956B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2021-11-08T02:14:00Z</dcterms:created>
  <dc:creator>赵龙</dc:creator>
  <cp:lastModifiedBy>赵龙</cp:lastModifiedBy>
  <dcterms:modified xsi:type="dcterms:W3CDTF">2021-11-08T02:14:53Z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