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黑体" w:hAnsi="黑体" w:eastAsia="黑体" w:cs="黑体"/>
          <w:bCs/>
          <w:sz w:val="28"/>
          <w:szCs w:val="28"/>
        </w:rPr>
      </w:pPr>
      <w:r>
        <w:rPr>
          <w:rFonts w:hint="eastAsia" w:ascii="黑体" w:hAnsi="黑体" w:eastAsia="黑体" w:cs="黑体"/>
          <w:bCs/>
          <w:sz w:val="28"/>
          <w:szCs w:val="28"/>
        </w:rPr>
        <w:t>附件：</w:t>
      </w:r>
    </w:p>
    <w:p>
      <w:pPr>
        <w:jc w:val="center"/>
        <w:rPr>
          <w:rFonts w:ascii="宋体" w:hAnsi="宋体" w:cs="宋体"/>
          <w:bCs/>
          <w:sz w:val="20"/>
        </w:rPr>
      </w:pPr>
      <w:r>
        <w:rPr>
          <w:rFonts w:hint="eastAsia" w:ascii="黑体" w:hAnsi="黑体" w:eastAsia="黑体" w:cs="黑体"/>
          <w:bCs/>
          <w:sz w:val="30"/>
          <w:szCs w:val="30"/>
        </w:rPr>
        <w:t>中国煤炭地质总局资产评估项目公示表</w:t>
      </w:r>
    </w:p>
    <w:p>
      <w:pPr>
        <w:rPr>
          <w:rFonts w:ascii="宋体" w:hAnsi="宋体" w:cs="宋体"/>
          <w:bCs/>
          <w:sz w:val="20"/>
        </w:rPr>
      </w:pPr>
      <w:r>
        <w:rPr>
          <w:rFonts w:hint="eastAsia" w:ascii="宋体" w:hAnsi="宋体" w:cs="宋体"/>
          <w:bCs/>
          <w:sz w:val="20"/>
        </w:rPr>
        <w:t>评估项目：中煤航测遥感集团有限公司拟转让其下属部门技术发展研究院部分资产</w:t>
      </w:r>
    </w:p>
    <w:p>
      <w:pPr>
        <w:rPr>
          <w:rFonts w:ascii="宋体" w:hAnsi="宋体" w:cs="宋体"/>
          <w:bCs/>
          <w:sz w:val="20"/>
        </w:rPr>
      </w:pPr>
      <w:r>
        <w:rPr>
          <w:rFonts w:hint="eastAsia" w:ascii="宋体" w:hAnsi="宋体" w:cs="宋体"/>
          <w:bCs/>
          <w:sz w:val="20"/>
        </w:rPr>
        <w:t>公示期限：20</w:t>
      </w:r>
      <w:r>
        <w:rPr>
          <w:rFonts w:hint="eastAsia" w:ascii="宋体" w:hAnsi="宋体" w:cs="宋体"/>
          <w:bCs/>
          <w:sz w:val="20"/>
          <w:lang w:val="en-US" w:eastAsia="zh-CN"/>
        </w:rPr>
        <w:t>21</w:t>
      </w:r>
      <w:r>
        <w:rPr>
          <w:rFonts w:hint="eastAsia" w:ascii="宋体" w:hAnsi="宋体" w:cs="宋体"/>
          <w:bCs/>
          <w:sz w:val="20"/>
        </w:rPr>
        <w:t>年</w:t>
      </w:r>
      <w:r>
        <w:rPr>
          <w:rFonts w:hint="eastAsia" w:ascii="宋体" w:hAnsi="宋体" w:cs="宋体"/>
          <w:bCs/>
          <w:sz w:val="20"/>
          <w:lang w:val="en-US" w:eastAsia="zh-CN"/>
        </w:rPr>
        <w:t>11</w:t>
      </w:r>
      <w:r>
        <w:rPr>
          <w:rFonts w:hint="eastAsia" w:ascii="宋体" w:hAnsi="宋体" w:cs="宋体"/>
          <w:bCs/>
          <w:sz w:val="20"/>
        </w:rPr>
        <w:t>月</w:t>
      </w:r>
      <w:r>
        <w:rPr>
          <w:rFonts w:hint="eastAsia" w:ascii="宋体" w:hAnsi="宋体" w:cs="宋体"/>
          <w:bCs/>
          <w:sz w:val="20"/>
          <w:lang w:val="en-US" w:eastAsia="zh-CN"/>
        </w:rPr>
        <w:t>11</w:t>
      </w:r>
      <w:r>
        <w:rPr>
          <w:rFonts w:hint="eastAsia" w:ascii="宋体" w:hAnsi="宋体" w:cs="宋体"/>
          <w:bCs/>
          <w:sz w:val="20"/>
        </w:rPr>
        <w:t>日至20</w:t>
      </w:r>
      <w:r>
        <w:rPr>
          <w:rFonts w:hint="eastAsia" w:ascii="宋体" w:hAnsi="宋体" w:cs="宋体"/>
          <w:bCs/>
          <w:sz w:val="20"/>
          <w:lang w:val="en-US" w:eastAsia="zh-CN"/>
        </w:rPr>
        <w:t>21</w:t>
      </w:r>
      <w:r>
        <w:rPr>
          <w:rFonts w:hint="eastAsia" w:ascii="宋体" w:hAnsi="宋体" w:cs="宋体"/>
          <w:bCs/>
          <w:sz w:val="20"/>
        </w:rPr>
        <w:t>年</w:t>
      </w:r>
      <w:r>
        <w:rPr>
          <w:rFonts w:hint="eastAsia" w:ascii="宋体" w:hAnsi="宋体" w:cs="宋体"/>
          <w:bCs/>
          <w:sz w:val="20"/>
          <w:lang w:val="en-US" w:eastAsia="zh-CN"/>
        </w:rPr>
        <w:t>11</w:t>
      </w:r>
      <w:r>
        <w:rPr>
          <w:rFonts w:hint="eastAsia" w:ascii="宋体" w:hAnsi="宋体" w:cs="宋体"/>
          <w:bCs/>
          <w:sz w:val="20"/>
        </w:rPr>
        <w:t>月</w:t>
      </w:r>
      <w:r>
        <w:rPr>
          <w:rFonts w:hint="eastAsia" w:ascii="宋体" w:hAnsi="宋体" w:cs="宋体"/>
          <w:bCs/>
          <w:sz w:val="20"/>
          <w:lang w:val="en-US" w:eastAsia="zh-CN"/>
        </w:rPr>
        <w:t>17</w:t>
      </w:r>
      <w:r>
        <w:rPr>
          <w:rFonts w:hint="eastAsia" w:ascii="宋体" w:hAnsi="宋体" w:cs="宋体"/>
          <w:bCs/>
          <w:sz w:val="20"/>
        </w:rPr>
        <w:t>日</w:t>
      </w:r>
    </w:p>
    <w:tbl>
      <w:tblPr>
        <w:tblStyle w:val="4"/>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1467"/>
        <w:gridCol w:w="1295"/>
        <w:gridCol w:w="1210"/>
        <w:gridCol w:w="1460"/>
        <w:gridCol w:w="1146"/>
        <w:gridCol w:w="1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4" w:hRule="atLeast"/>
        </w:trPr>
        <w:tc>
          <w:tcPr>
            <w:tcW w:w="672" w:type="dxa"/>
            <w:noWrap w:val="0"/>
            <w:vAlign w:val="center"/>
          </w:tcPr>
          <w:p>
            <w:pPr>
              <w:jc w:val="center"/>
              <w:rPr>
                <w:rFonts w:ascii="宋体" w:hAnsi="宋体" w:cs="宋体"/>
                <w:bCs/>
                <w:sz w:val="20"/>
              </w:rPr>
            </w:pPr>
            <w:r>
              <w:rPr>
                <w:rFonts w:hint="eastAsia" w:ascii="宋体" w:hAnsi="宋体" w:cs="宋体"/>
                <w:bCs/>
                <w:sz w:val="20"/>
              </w:rPr>
              <w:t>序号</w:t>
            </w:r>
          </w:p>
        </w:tc>
        <w:tc>
          <w:tcPr>
            <w:tcW w:w="1467" w:type="dxa"/>
            <w:noWrap w:val="0"/>
            <w:vAlign w:val="center"/>
          </w:tcPr>
          <w:p>
            <w:pPr>
              <w:jc w:val="center"/>
              <w:rPr>
                <w:rFonts w:ascii="宋体" w:hAnsi="宋体" w:cs="宋体"/>
                <w:bCs/>
                <w:sz w:val="20"/>
              </w:rPr>
            </w:pPr>
            <w:r>
              <w:rPr>
                <w:rFonts w:hint="eastAsia" w:ascii="宋体" w:hAnsi="宋体" w:cs="宋体"/>
                <w:bCs/>
                <w:sz w:val="20"/>
              </w:rPr>
              <w:t>公示项目</w:t>
            </w:r>
          </w:p>
        </w:tc>
        <w:tc>
          <w:tcPr>
            <w:tcW w:w="6381" w:type="dxa"/>
            <w:gridSpan w:val="5"/>
            <w:noWrap w:val="0"/>
            <w:vAlign w:val="center"/>
          </w:tcPr>
          <w:p>
            <w:pPr>
              <w:jc w:val="center"/>
              <w:rPr>
                <w:rFonts w:ascii="宋体" w:hAnsi="宋体" w:cs="宋体"/>
                <w:bCs/>
                <w:sz w:val="20"/>
              </w:rPr>
            </w:pPr>
            <w:r>
              <w:rPr>
                <w:rFonts w:hint="eastAsia" w:ascii="宋体" w:hAnsi="宋体" w:cs="宋体"/>
                <w:bCs/>
                <w:sz w:val="20"/>
              </w:rPr>
              <w:t>公示内容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1" w:hRule="atLeast"/>
        </w:trPr>
        <w:tc>
          <w:tcPr>
            <w:tcW w:w="672" w:type="dxa"/>
            <w:noWrap w:val="0"/>
            <w:vAlign w:val="center"/>
          </w:tcPr>
          <w:p>
            <w:pPr>
              <w:jc w:val="center"/>
              <w:rPr>
                <w:rFonts w:ascii="宋体" w:hAnsi="宋体" w:cs="宋体"/>
                <w:bCs/>
                <w:sz w:val="20"/>
              </w:rPr>
            </w:pPr>
            <w:r>
              <w:rPr>
                <w:rFonts w:hint="eastAsia" w:ascii="宋体" w:hAnsi="宋体" w:cs="宋体"/>
                <w:bCs/>
                <w:sz w:val="20"/>
              </w:rPr>
              <w:t>1</w:t>
            </w:r>
          </w:p>
        </w:tc>
        <w:tc>
          <w:tcPr>
            <w:tcW w:w="1467" w:type="dxa"/>
            <w:noWrap w:val="0"/>
            <w:vAlign w:val="center"/>
          </w:tcPr>
          <w:p>
            <w:pPr>
              <w:jc w:val="center"/>
              <w:rPr>
                <w:rFonts w:ascii="宋体" w:hAnsi="宋体" w:cs="宋体"/>
                <w:bCs/>
                <w:sz w:val="20"/>
              </w:rPr>
            </w:pPr>
            <w:r>
              <w:rPr>
                <w:rFonts w:hint="eastAsia" w:ascii="宋体" w:hAnsi="宋体" w:cs="宋体"/>
                <w:bCs/>
                <w:sz w:val="20"/>
              </w:rPr>
              <w:t>经济行为批准</w:t>
            </w:r>
          </w:p>
          <w:p>
            <w:pPr>
              <w:jc w:val="center"/>
              <w:rPr>
                <w:rFonts w:ascii="宋体" w:hAnsi="宋体" w:cs="宋体"/>
                <w:bCs/>
                <w:sz w:val="20"/>
              </w:rPr>
            </w:pPr>
            <w:r>
              <w:rPr>
                <w:rFonts w:hint="eastAsia" w:ascii="宋体" w:hAnsi="宋体" w:cs="宋体"/>
                <w:bCs/>
                <w:sz w:val="20"/>
              </w:rPr>
              <w:t>文件</w:t>
            </w:r>
          </w:p>
        </w:tc>
        <w:tc>
          <w:tcPr>
            <w:tcW w:w="6381" w:type="dxa"/>
            <w:gridSpan w:val="5"/>
            <w:noWrap w:val="0"/>
            <w:vAlign w:val="center"/>
          </w:tcPr>
          <w:p>
            <w:pPr>
              <w:rPr>
                <w:rFonts w:ascii="宋体" w:hAnsi="宋体" w:cs="宋体"/>
                <w:bCs/>
                <w:sz w:val="20"/>
              </w:rPr>
            </w:pPr>
            <w:r>
              <w:rPr>
                <w:rFonts w:hint="eastAsia" w:ascii="宋体" w:hAnsi="宋体" w:cs="宋体"/>
                <w:bCs/>
                <w:sz w:val="20"/>
              </w:rPr>
              <w:t>《中国煤炭地质总局关于对中煤航测遥感集团有限公司相关资产处置事项立项的批复》(</w:t>
            </w:r>
            <w:r>
              <w:rPr>
                <w:rFonts w:hint="eastAsia" w:ascii="宋体" w:hAnsi="宋体" w:cs="宋体"/>
                <w:bCs/>
                <w:sz w:val="20"/>
                <w:lang w:val="en-US" w:eastAsia="zh-CN"/>
              </w:rPr>
              <w:t>中煤地办发规划(2021) 85号</w:t>
            </w:r>
            <w:r>
              <w:rPr>
                <w:rFonts w:hint="eastAsia" w:ascii="宋体" w:hAnsi="宋体" w:cs="宋体"/>
                <w:bCs/>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1" w:hRule="atLeast"/>
        </w:trPr>
        <w:tc>
          <w:tcPr>
            <w:tcW w:w="672" w:type="dxa"/>
            <w:noWrap w:val="0"/>
            <w:vAlign w:val="center"/>
          </w:tcPr>
          <w:p>
            <w:pPr>
              <w:jc w:val="center"/>
              <w:rPr>
                <w:rFonts w:ascii="宋体" w:hAnsi="宋体" w:cs="宋体"/>
                <w:bCs/>
                <w:sz w:val="20"/>
              </w:rPr>
            </w:pPr>
            <w:r>
              <w:rPr>
                <w:rFonts w:hint="eastAsia" w:ascii="宋体" w:hAnsi="宋体" w:cs="宋体"/>
                <w:bCs/>
                <w:sz w:val="20"/>
              </w:rPr>
              <w:t>2</w:t>
            </w:r>
          </w:p>
        </w:tc>
        <w:tc>
          <w:tcPr>
            <w:tcW w:w="1467" w:type="dxa"/>
            <w:noWrap w:val="0"/>
            <w:vAlign w:val="center"/>
          </w:tcPr>
          <w:p>
            <w:pPr>
              <w:jc w:val="center"/>
              <w:rPr>
                <w:rFonts w:ascii="宋体" w:hAnsi="宋体" w:cs="宋体"/>
                <w:bCs/>
                <w:sz w:val="20"/>
              </w:rPr>
            </w:pPr>
            <w:r>
              <w:rPr>
                <w:rFonts w:hint="eastAsia" w:ascii="宋体" w:hAnsi="宋体" w:cs="宋体"/>
                <w:bCs/>
                <w:sz w:val="20"/>
              </w:rPr>
              <w:t>评估机构选聘</w:t>
            </w:r>
          </w:p>
          <w:p>
            <w:pPr>
              <w:jc w:val="center"/>
              <w:rPr>
                <w:rFonts w:ascii="宋体" w:hAnsi="宋体" w:cs="宋体"/>
                <w:bCs/>
                <w:sz w:val="20"/>
              </w:rPr>
            </w:pPr>
            <w:r>
              <w:rPr>
                <w:rFonts w:hint="eastAsia" w:ascii="宋体" w:hAnsi="宋体" w:cs="宋体"/>
                <w:bCs/>
                <w:sz w:val="20"/>
              </w:rPr>
              <w:t>方式</w:t>
            </w:r>
          </w:p>
        </w:tc>
        <w:tc>
          <w:tcPr>
            <w:tcW w:w="6381" w:type="dxa"/>
            <w:gridSpan w:val="5"/>
            <w:noWrap w:val="0"/>
            <w:vAlign w:val="center"/>
          </w:tcPr>
          <w:p>
            <w:pPr>
              <w:rPr>
                <w:rFonts w:ascii="宋体" w:hAnsi="宋体" w:cs="宋体"/>
                <w:bCs/>
                <w:sz w:val="20"/>
              </w:rPr>
            </w:pPr>
            <w:r>
              <w:rPr>
                <w:rFonts w:hint="eastAsia" w:ascii="宋体" w:hAnsi="宋体" w:cs="宋体"/>
                <w:bCs/>
                <w:sz w:val="20"/>
              </w:rPr>
              <w:t>中煤航测遥感集团有限公司</w:t>
            </w:r>
            <w:r>
              <w:rPr>
                <w:rFonts w:hint="eastAsia" w:ascii="宋体" w:hAnsi="宋体" w:cs="宋体"/>
                <w:bCs/>
                <w:sz w:val="20"/>
                <w:lang w:val="en-US" w:eastAsia="zh-CN"/>
              </w:rPr>
              <w:t>向总局上报聘请中介机构的请示，</w:t>
            </w:r>
            <w:r>
              <w:rPr>
                <w:rFonts w:hint="eastAsia" w:ascii="宋体" w:hAnsi="宋体" w:cs="宋体"/>
                <w:bCs/>
                <w:sz w:val="20"/>
              </w:rPr>
              <w:t>总局资产财务部</w:t>
            </w:r>
            <w:r>
              <w:rPr>
                <w:rFonts w:hint="eastAsia" w:ascii="宋体" w:hAnsi="宋体" w:cs="宋体"/>
                <w:bCs/>
                <w:sz w:val="20"/>
                <w:lang w:eastAsia="zh-CN"/>
              </w:rPr>
              <w:t>按照询价比选的方式，按照相关程序，从</w:t>
            </w:r>
            <w:r>
              <w:rPr>
                <w:rFonts w:hint="eastAsia" w:ascii="宋体" w:hAnsi="宋体" w:cs="宋体"/>
                <w:bCs/>
                <w:sz w:val="20"/>
              </w:rPr>
              <w:t>总局评估机构备选库中</w:t>
            </w:r>
            <w:r>
              <w:rPr>
                <w:rFonts w:hint="eastAsia" w:ascii="宋体" w:hAnsi="宋体" w:cs="宋体"/>
                <w:bCs/>
                <w:sz w:val="20"/>
                <w:lang w:eastAsia="zh-CN"/>
              </w:rPr>
              <w:t>择优选择</w:t>
            </w:r>
            <w:r>
              <w:rPr>
                <w:rFonts w:hint="eastAsia" w:ascii="宋体" w:hAnsi="宋体" w:cs="宋体"/>
                <w:bCs/>
                <w:sz w:val="20"/>
              </w:rPr>
              <w:t>符合要求的评估机构。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atLeast"/>
        </w:trPr>
        <w:tc>
          <w:tcPr>
            <w:tcW w:w="672" w:type="dxa"/>
            <w:noWrap w:val="0"/>
            <w:vAlign w:val="center"/>
          </w:tcPr>
          <w:p>
            <w:pPr>
              <w:jc w:val="center"/>
              <w:rPr>
                <w:rFonts w:ascii="宋体" w:hAnsi="宋体" w:cs="宋体"/>
                <w:bCs/>
                <w:sz w:val="20"/>
              </w:rPr>
            </w:pPr>
          </w:p>
          <w:p>
            <w:pPr>
              <w:jc w:val="center"/>
              <w:rPr>
                <w:rFonts w:ascii="宋体" w:hAnsi="宋体" w:cs="宋体"/>
                <w:bCs/>
                <w:sz w:val="20"/>
              </w:rPr>
            </w:pPr>
            <w:r>
              <w:rPr>
                <w:rFonts w:hint="eastAsia" w:ascii="宋体" w:hAnsi="宋体" w:cs="宋体"/>
                <w:bCs/>
                <w:sz w:val="20"/>
              </w:rPr>
              <w:t>3</w:t>
            </w:r>
          </w:p>
        </w:tc>
        <w:tc>
          <w:tcPr>
            <w:tcW w:w="1467" w:type="dxa"/>
            <w:noWrap w:val="0"/>
            <w:vAlign w:val="center"/>
          </w:tcPr>
          <w:p>
            <w:pPr>
              <w:jc w:val="center"/>
              <w:rPr>
                <w:rFonts w:ascii="宋体" w:hAnsi="宋体" w:cs="宋体"/>
                <w:bCs/>
                <w:sz w:val="20"/>
              </w:rPr>
            </w:pPr>
            <w:r>
              <w:rPr>
                <w:rFonts w:hint="eastAsia" w:ascii="宋体" w:hAnsi="宋体" w:cs="宋体"/>
                <w:bCs/>
                <w:sz w:val="20"/>
              </w:rPr>
              <w:t>评估机构及评估师资质</w:t>
            </w:r>
          </w:p>
        </w:tc>
        <w:tc>
          <w:tcPr>
            <w:tcW w:w="6381" w:type="dxa"/>
            <w:gridSpan w:val="5"/>
            <w:noWrap w:val="0"/>
            <w:vAlign w:val="center"/>
          </w:tcPr>
          <w:p>
            <w:pPr>
              <w:rPr>
                <w:rFonts w:hint="default" w:ascii="宋体" w:hAnsi="宋体" w:eastAsia="宋体" w:cs="宋体"/>
                <w:bCs/>
                <w:sz w:val="20"/>
                <w:lang w:val="en-US" w:eastAsia="zh-CN"/>
              </w:rPr>
            </w:pPr>
            <w:r>
              <w:rPr>
                <w:rFonts w:hint="eastAsia" w:ascii="宋体" w:hAnsi="宋体" w:cs="宋体"/>
                <w:bCs/>
                <w:sz w:val="20"/>
                <w:lang w:val="en-US" w:eastAsia="zh-CN"/>
              </w:rPr>
              <w:t>中联资产评估集团有限公司</w:t>
            </w:r>
            <w:r>
              <w:rPr>
                <w:rFonts w:hint="eastAsia" w:ascii="宋体" w:hAnsi="宋体" w:cs="宋体"/>
                <w:bCs/>
                <w:sz w:val="20"/>
              </w:rPr>
              <w:t>：</w:t>
            </w:r>
            <w:r>
              <w:rPr>
                <w:rFonts w:hint="eastAsia" w:ascii="宋体" w:hAnsi="宋体" w:cs="宋体"/>
                <w:bCs/>
                <w:sz w:val="20"/>
                <w:lang w:val="en-US" w:eastAsia="zh-CN"/>
              </w:rPr>
              <w:t>翟红梅 11090063</w:t>
            </w:r>
            <w:r>
              <w:rPr>
                <w:rFonts w:hint="eastAsia" w:ascii="宋体" w:hAnsi="宋体" w:cs="宋体"/>
                <w:bCs/>
                <w:sz w:val="20"/>
              </w:rPr>
              <w:t>；</w:t>
            </w:r>
            <w:r>
              <w:rPr>
                <w:rFonts w:hint="eastAsia" w:ascii="宋体" w:hAnsi="宋体" w:cs="宋体"/>
                <w:bCs/>
                <w:sz w:val="20"/>
                <w:lang w:val="en-US" w:eastAsia="zh-CN"/>
              </w:rPr>
              <w:t>张佳瑜 61180018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5" w:hRule="atLeast"/>
        </w:trPr>
        <w:tc>
          <w:tcPr>
            <w:tcW w:w="672" w:type="dxa"/>
            <w:noWrap w:val="0"/>
            <w:vAlign w:val="center"/>
          </w:tcPr>
          <w:p>
            <w:pPr>
              <w:jc w:val="center"/>
              <w:rPr>
                <w:rFonts w:ascii="宋体" w:hAnsi="宋体" w:cs="宋体"/>
                <w:bCs/>
                <w:sz w:val="20"/>
              </w:rPr>
            </w:pPr>
            <w:r>
              <w:rPr>
                <w:rFonts w:hint="eastAsia" w:ascii="宋体" w:hAnsi="宋体" w:cs="宋体"/>
                <w:bCs/>
                <w:sz w:val="20"/>
              </w:rPr>
              <w:t>4</w:t>
            </w:r>
          </w:p>
        </w:tc>
        <w:tc>
          <w:tcPr>
            <w:tcW w:w="1467" w:type="dxa"/>
            <w:noWrap w:val="0"/>
            <w:vAlign w:val="center"/>
          </w:tcPr>
          <w:p>
            <w:pPr>
              <w:jc w:val="center"/>
              <w:rPr>
                <w:rFonts w:ascii="宋体" w:hAnsi="宋体" w:cs="宋体"/>
                <w:bCs/>
                <w:sz w:val="20"/>
              </w:rPr>
            </w:pPr>
            <w:r>
              <w:rPr>
                <w:rFonts w:hint="eastAsia" w:ascii="宋体" w:hAnsi="宋体" w:cs="宋体"/>
                <w:bCs/>
                <w:sz w:val="20"/>
              </w:rPr>
              <w:t>评估程序履行及审核情况</w:t>
            </w:r>
          </w:p>
        </w:tc>
        <w:tc>
          <w:tcPr>
            <w:tcW w:w="6381" w:type="dxa"/>
            <w:gridSpan w:val="5"/>
            <w:noWrap w:val="0"/>
            <w:vAlign w:val="center"/>
          </w:tcPr>
          <w:p>
            <w:pPr>
              <w:widowControl/>
              <w:jc w:val="left"/>
              <w:rPr>
                <w:rFonts w:ascii="宋体" w:hAnsi="宋体" w:cs="宋体"/>
                <w:bCs/>
                <w:sz w:val="20"/>
              </w:rPr>
            </w:pPr>
            <w:r>
              <w:rPr>
                <w:rFonts w:hint="eastAsia" w:ascii="宋体" w:hAnsi="宋体" w:cs="宋体"/>
                <w:bCs/>
                <w:sz w:val="20"/>
              </w:rPr>
              <w:t>中煤航测遥感集团有限公司选聘</w:t>
            </w:r>
            <w:r>
              <w:rPr>
                <w:rFonts w:hint="eastAsia" w:ascii="宋体" w:hAnsi="宋体" w:cs="宋体"/>
                <w:bCs/>
                <w:sz w:val="20"/>
                <w:lang w:val="en-US" w:eastAsia="zh-CN"/>
              </w:rPr>
              <w:t>中联资产评估集团有限公司</w:t>
            </w:r>
            <w:r>
              <w:rPr>
                <w:rFonts w:hint="eastAsia" w:ascii="宋体" w:hAnsi="宋体" w:cs="宋体"/>
                <w:bCs/>
                <w:sz w:val="20"/>
              </w:rPr>
              <w:t>对中煤航测遥感集团有限公司拟转让其下属部门技术发展研究院部分资产开展评估工作，</w:t>
            </w:r>
            <w:r>
              <w:rPr>
                <w:rFonts w:hint="eastAsia" w:ascii="宋体" w:hAnsi="宋体" w:cs="宋体"/>
                <w:bCs/>
                <w:sz w:val="20"/>
                <w:lang w:val="en-US" w:eastAsia="zh-CN"/>
              </w:rPr>
              <w:t>并由中国煤炭地质总局</w:t>
            </w:r>
            <w:r>
              <w:rPr>
                <w:rFonts w:hint="eastAsia" w:ascii="宋体" w:hAnsi="宋体" w:cs="宋体"/>
                <w:bCs/>
                <w:sz w:val="20"/>
              </w:rPr>
              <w:t>委托</w:t>
            </w:r>
            <w:r>
              <w:rPr>
                <w:rFonts w:hint="eastAsia" w:ascii="宋体" w:hAnsi="宋体" w:cs="宋体"/>
                <w:bCs/>
                <w:sz w:val="20"/>
                <w:lang w:eastAsia="zh-CN"/>
              </w:rPr>
              <w:t>专家</w:t>
            </w:r>
            <w:r>
              <w:rPr>
                <w:rFonts w:hint="eastAsia" w:ascii="宋体" w:hAnsi="宋体" w:cs="宋体"/>
                <w:bCs/>
                <w:sz w:val="20"/>
              </w:rPr>
              <w:t>对评估报告初稿进行了审核并出具了审核意见，直至审核无异议。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4" w:hRule="atLeast"/>
        </w:trPr>
        <w:tc>
          <w:tcPr>
            <w:tcW w:w="672" w:type="dxa"/>
            <w:noWrap w:val="0"/>
            <w:vAlign w:val="center"/>
          </w:tcPr>
          <w:p>
            <w:pPr>
              <w:jc w:val="center"/>
              <w:rPr>
                <w:rFonts w:ascii="宋体" w:hAnsi="宋体" w:cs="宋体"/>
                <w:bCs/>
                <w:sz w:val="20"/>
              </w:rPr>
            </w:pPr>
            <w:r>
              <w:rPr>
                <w:rFonts w:hint="eastAsia" w:ascii="宋体" w:hAnsi="宋体" w:cs="宋体"/>
                <w:bCs/>
                <w:sz w:val="20"/>
              </w:rPr>
              <w:t>5</w:t>
            </w:r>
          </w:p>
        </w:tc>
        <w:tc>
          <w:tcPr>
            <w:tcW w:w="1467" w:type="dxa"/>
            <w:noWrap w:val="0"/>
            <w:vAlign w:val="center"/>
          </w:tcPr>
          <w:p>
            <w:pPr>
              <w:jc w:val="center"/>
              <w:rPr>
                <w:rFonts w:ascii="宋体" w:hAnsi="宋体" w:cs="宋体"/>
                <w:bCs/>
                <w:sz w:val="20"/>
              </w:rPr>
            </w:pPr>
            <w:r>
              <w:rPr>
                <w:rFonts w:hint="eastAsia" w:ascii="宋体" w:hAnsi="宋体" w:cs="宋体"/>
                <w:bCs/>
                <w:sz w:val="20"/>
              </w:rPr>
              <w:t>评估报告摘要和特别事项说明</w:t>
            </w:r>
          </w:p>
        </w:tc>
        <w:tc>
          <w:tcPr>
            <w:tcW w:w="6381" w:type="dxa"/>
            <w:gridSpan w:val="5"/>
            <w:noWrap w:val="0"/>
            <w:vAlign w:val="center"/>
          </w:tcPr>
          <w:p>
            <w:pPr>
              <w:widowControl/>
              <w:jc w:val="left"/>
              <w:rPr>
                <w:rFonts w:ascii="宋体" w:hAnsi="宋体" w:cs="宋体"/>
                <w:bCs/>
                <w:sz w:val="20"/>
              </w:rPr>
            </w:pPr>
            <w:r>
              <w:rPr>
                <w:rFonts w:hint="eastAsia" w:ascii="宋体" w:hAnsi="宋体" w:cs="宋体"/>
                <w:bCs/>
                <w:sz w:val="20"/>
              </w:rPr>
              <w:t>评估报告摘要</w:t>
            </w:r>
            <w:r>
              <w:rPr>
                <w:rFonts w:hint="eastAsia" w:ascii="宋体" w:hAnsi="宋体" w:cs="宋体"/>
                <w:bCs/>
                <w:sz w:val="20"/>
                <w:lang w:eastAsia="zh-CN"/>
              </w:rPr>
              <w:t>：中联资产评估集团有限公司接受贵公司委托，根据有关法律法规和资产评估准则，采用成本法，按照必要的评估程序，对中煤航测遥感集团有限公司拟转让其下属部门技术发展研究院部分资产之经济行为，对所涉及的中煤航测遥感集团有限公司其下属部门部分资产在评估基准日2021年3月31日的市场价值进行了评估</w:t>
            </w:r>
            <w:r>
              <w:rPr>
                <w:rFonts w:ascii="宋体" w:hAnsi="宋体" w:cs="宋体"/>
                <w:bCs/>
                <w:sz w:val="20"/>
              </w:rPr>
              <w:t>。</w:t>
            </w:r>
            <w:r>
              <w:rPr>
                <w:rFonts w:hint="eastAsia" w:ascii="宋体" w:hAnsi="宋体" w:cs="宋体"/>
                <w:bCs/>
                <w:sz w:val="20"/>
              </w:rPr>
              <w:t>评估对象是中煤航测遥感集团有限公司申报其下属部门技术发展研究院的部分资产，评估范围包括固定资产和无形资产。固定资产全部为电子设备，无形资产包括专利和软件著作权。本次评估的资产总额24.63万元，为固定资产和无形资产。固定资产全部为电子设备，原值602,048.04元，净值246,252.16元；无形资产包括专利和软件著作权，均为账面未记录无形资产。其中专利共8项，分别为4项发明专利和4项实用新型；软件著作权共23项，为企业开发的系统和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trPr>
        <w:tc>
          <w:tcPr>
            <w:tcW w:w="672" w:type="dxa"/>
            <w:vMerge w:val="restart"/>
            <w:noWrap w:val="0"/>
            <w:vAlign w:val="center"/>
          </w:tcPr>
          <w:p>
            <w:pPr>
              <w:jc w:val="center"/>
              <w:rPr>
                <w:rFonts w:ascii="宋体" w:hAnsi="宋体" w:cs="宋体"/>
                <w:bCs/>
                <w:sz w:val="20"/>
              </w:rPr>
            </w:pPr>
            <w:r>
              <w:rPr>
                <w:rFonts w:hint="eastAsia" w:ascii="宋体" w:hAnsi="宋体" w:cs="宋体"/>
                <w:bCs/>
                <w:sz w:val="20"/>
              </w:rPr>
              <w:t>6</w:t>
            </w:r>
          </w:p>
        </w:tc>
        <w:tc>
          <w:tcPr>
            <w:tcW w:w="1467" w:type="dxa"/>
            <w:vMerge w:val="restart"/>
            <w:noWrap w:val="0"/>
            <w:vAlign w:val="center"/>
          </w:tcPr>
          <w:p>
            <w:pPr>
              <w:jc w:val="center"/>
              <w:rPr>
                <w:rFonts w:ascii="宋体" w:hAnsi="宋体" w:cs="宋体"/>
                <w:bCs/>
                <w:sz w:val="20"/>
              </w:rPr>
            </w:pPr>
            <w:r>
              <w:rPr>
                <w:rFonts w:hint="eastAsia" w:ascii="宋体" w:hAnsi="宋体" w:cs="宋体"/>
                <w:bCs/>
                <w:sz w:val="20"/>
              </w:rPr>
              <w:t>评估结果汇总表</w:t>
            </w:r>
          </w:p>
          <w:p>
            <w:pPr>
              <w:jc w:val="center"/>
              <w:rPr>
                <w:rFonts w:ascii="宋体" w:hAnsi="宋体" w:cs="宋体"/>
                <w:bCs/>
                <w:sz w:val="20"/>
              </w:rPr>
            </w:pPr>
            <w:r>
              <w:rPr>
                <w:rFonts w:hint="eastAsia" w:ascii="宋体" w:hAnsi="宋体" w:cs="宋体"/>
                <w:bCs/>
                <w:sz w:val="20"/>
              </w:rPr>
              <w:t>（单位：万元）</w:t>
            </w:r>
          </w:p>
        </w:tc>
        <w:tc>
          <w:tcPr>
            <w:tcW w:w="1295" w:type="dxa"/>
            <w:noWrap w:val="0"/>
            <w:vAlign w:val="center"/>
          </w:tcPr>
          <w:p>
            <w:pPr>
              <w:jc w:val="center"/>
              <w:rPr>
                <w:rFonts w:ascii="宋体" w:hAnsi="宋体" w:cs="宋体"/>
                <w:bCs/>
                <w:sz w:val="20"/>
              </w:rPr>
            </w:pPr>
            <w:r>
              <w:rPr>
                <w:rFonts w:hint="eastAsia" w:ascii="宋体" w:hAnsi="宋体" w:cs="宋体"/>
                <w:bCs/>
                <w:sz w:val="20"/>
              </w:rPr>
              <w:t>项  目</w:t>
            </w:r>
          </w:p>
        </w:tc>
        <w:tc>
          <w:tcPr>
            <w:tcW w:w="1210" w:type="dxa"/>
            <w:noWrap w:val="0"/>
            <w:vAlign w:val="center"/>
          </w:tcPr>
          <w:p>
            <w:pPr>
              <w:jc w:val="center"/>
              <w:rPr>
                <w:rFonts w:ascii="宋体" w:hAnsi="宋体" w:cs="宋体"/>
                <w:bCs/>
                <w:sz w:val="20"/>
              </w:rPr>
            </w:pPr>
            <w:r>
              <w:rPr>
                <w:rFonts w:hint="eastAsia" w:ascii="宋体" w:hAnsi="宋体" w:cs="宋体"/>
                <w:bCs/>
                <w:sz w:val="20"/>
              </w:rPr>
              <w:t>账面价值</w:t>
            </w:r>
          </w:p>
        </w:tc>
        <w:tc>
          <w:tcPr>
            <w:tcW w:w="1460" w:type="dxa"/>
            <w:noWrap w:val="0"/>
            <w:vAlign w:val="center"/>
          </w:tcPr>
          <w:p>
            <w:pPr>
              <w:jc w:val="center"/>
              <w:rPr>
                <w:rFonts w:hint="eastAsia" w:ascii="宋体" w:hAnsi="宋体" w:eastAsia="宋体" w:cs="宋体"/>
                <w:bCs/>
                <w:sz w:val="20"/>
                <w:lang w:eastAsia="zh-CN"/>
              </w:rPr>
            </w:pPr>
            <w:r>
              <w:rPr>
                <w:rFonts w:hint="eastAsia" w:ascii="宋体" w:hAnsi="宋体" w:cs="宋体"/>
                <w:bCs/>
                <w:sz w:val="20"/>
              </w:rPr>
              <w:t>评估值</w:t>
            </w:r>
            <w:r>
              <w:rPr>
                <w:rFonts w:hint="eastAsia" w:ascii="宋体" w:hAnsi="宋体" w:cs="宋体"/>
                <w:bCs/>
                <w:sz w:val="20"/>
                <w:lang w:eastAsia="zh-CN"/>
              </w:rPr>
              <w:t>（</w:t>
            </w:r>
            <w:r>
              <w:rPr>
                <w:rFonts w:hint="eastAsia" w:ascii="宋体" w:hAnsi="宋体" w:cs="宋体"/>
                <w:bCs/>
                <w:sz w:val="20"/>
                <w:lang w:val="en-US" w:eastAsia="zh-CN"/>
              </w:rPr>
              <w:t>含税</w:t>
            </w:r>
            <w:r>
              <w:rPr>
                <w:rFonts w:hint="eastAsia" w:ascii="宋体" w:hAnsi="宋体" w:cs="宋体"/>
                <w:bCs/>
                <w:sz w:val="20"/>
                <w:lang w:eastAsia="zh-CN"/>
              </w:rPr>
              <w:t>）</w:t>
            </w:r>
          </w:p>
        </w:tc>
        <w:tc>
          <w:tcPr>
            <w:tcW w:w="1146" w:type="dxa"/>
            <w:noWrap w:val="0"/>
            <w:vAlign w:val="center"/>
          </w:tcPr>
          <w:p>
            <w:pPr>
              <w:jc w:val="center"/>
              <w:rPr>
                <w:rFonts w:ascii="宋体" w:hAnsi="宋体" w:cs="宋体"/>
                <w:bCs/>
                <w:sz w:val="20"/>
              </w:rPr>
            </w:pPr>
            <w:r>
              <w:rPr>
                <w:rFonts w:hint="eastAsia" w:ascii="宋体" w:hAnsi="宋体" w:cs="宋体"/>
                <w:bCs/>
                <w:sz w:val="20"/>
              </w:rPr>
              <w:t>增值额</w:t>
            </w:r>
          </w:p>
        </w:tc>
        <w:tc>
          <w:tcPr>
            <w:tcW w:w="1270" w:type="dxa"/>
            <w:noWrap w:val="0"/>
            <w:vAlign w:val="center"/>
          </w:tcPr>
          <w:p>
            <w:pPr>
              <w:jc w:val="center"/>
              <w:rPr>
                <w:rFonts w:ascii="宋体" w:hAnsi="宋体" w:cs="宋体"/>
                <w:bCs/>
                <w:sz w:val="20"/>
              </w:rPr>
            </w:pPr>
            <w:r>
              <w:rPr>
                <w:rFonts w:hint="eastAsia" w:ascii="宋体" w:hAnsi="宋体" w:cs="宋体"/>
                <w:bCs/>
                <w:sz w:val="20"/>
              </w:rPr>
              <w:t>增值率（%）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672" w:type="dxa"/>
            <w:vMerge w:val="continue"/>
            <w:noWrap w:val="0"/>
            <w:vAlign w:val="center"/>
          </w:tcPr>
          <w:p>
            <w:pPr>
              <w:jc w:val="center"/>
              <w:rPr>
                <w:rFonts w:ascii="宋体" w:hAnsi="宋体" w:cs="宋体"/>
                <w:bCs/>
                <w:sz w:val="20"/>
              </w:rPr>
            </w:pPr>
          </w:p>
        </w:tc>
        <w:tc>
          <w:tcPr>
            <w:tcW w:w="1467" w:type="dxa"/>
            <w:vMerge w:val="continue"/>
            <w:noWrap w:val="0"/>
            <w:vAlign w:val="center"/>
          </w:tcPr>
          <w:p>
            <w:pPr>
              <w:jc w:val="center"/>
              <w:rPr>
                <w:rFonts w:ascii="宋体" w:hAnsi="宋体" w:cs="宋体"/>
                <w:bCs/>
                <w:sz w:val="20"/>
              </w:rPr>
            </w:pPr>
          </w:p>
        </w:tc>
        <w:tc>
          <w:tcPr>
            <w:tcW w:w="1295" w:type="dxa"/>
            <w:noWrap w:val="0"/>
            <w:vAlign w:val="center"/>
          </w:tcPr>
          <w:p>
            <w:pPr>
              <w:jc w:val="center"/>
              <w:rPr>
                <w:rFonts w:ascii="宋体" w:hAnsi="宋体" w:cs="宋体"/>
                <w:bCs/>
                <w:sz w:val="20"/>
              </w:rPr>
            </w:pPr>
            <w:r>
              <w:rPr>
                <w:rFonts w:hint="eastAsia"/>
                <w:sz w:val="20"/>
                <w:szCs w:val="20"/>
              </w:rPr>
              <w:t>非流动资产</w:t>
            </w:r>
          </w:p>
        </w:tc>
        <w:tc>
          <w:tcPr>
            <w:tcW w:w="1210" w:type="dxa"/>
            <w:noWrap w:val="0"/>
            <w:vAlign w:val="top"/>
          </w:tcPr>
          <w:p>
            <w:pPr>
              <w:jc w:val="center"/>
              <w:rPr>
                <w:rFonts w:hint="default" w:ascii="宋体" w:hAnsi="宋体" w:cs="宋体"/>
                <w:bCs/>
                <w:sz w:val="20"/>
                <w:lang w:val="en-US" w:eastAsia="zh-CN"/>
              </w:rPr>
            </w:pPr>
            <w:r>
              <w:rPr>
                <w:sz w:val="20"/>
                <w:szCs w:val="20"/>
              </w:rPr>
              <w:t>24.63</w:t>
            </w:r>
          </w:p>
        </w:tc>
        <w:tc>
          <w:tcPr>
            <w:tcW w:w="1460" w:type="dxa"/>
            <w:noWrap w:val="0"/>
            <w:vAlign w:val="top"/>
          </w:tcPr>
          <w:p>
            <w:pPr>
              <w:jc w:val="center"/>
              <w:rPr>
                <w:rFonts w:hint="default" w:ascii="宋体" w:hAnsi="宋体" w:cs="宋体"/>
                <w:bCs/>
                <w:sz w:val="20"/>
                <w:lang w:val="en-US" w:eastAsia="zh-CN"/>
              </w:rPr>
            </w:pPr>
            <w:r>
              <w:rPr>
                <w:sz w:val="20"/>
                <w:szCs w:val="20"/>
              </w:rPr>
              <w:t>479.84</w:t>
            </w:r>
          </w:p>
        </w:tc>
        <w:tc>
          <w:tcPr>
            <w:tcW w:w="1146" w:type="dxa"/>
            <w:noWrap w:val="0"/>
            <w:vAlign w:val="top"/>
          </w:tcPr>
          <w:p>
            <w:pPr>
              <w:jc w:val="center"/>
              <w:rPr>
                <w:rFonts w:hint="default" w:ascii="宋体" w:hAnsi="宋体" w:cs="宋体"/>
                <w:bCs/>
                <w:sz w:val="20"/>
                <w:lang w:val="en-US" w:eastAsia="zh-CN"/>
              </w:rPr>
            </w:pPr>
            <w:r>
              <w:rPr>
                <w:sz w:val="20"/>
                <w:szCs w:val="20"/>
              </w:rPr>
              <w:t>455.21</w:t>
            </w:r>
          </w:p>
        </w:tc>
        <w:tc>
          <w:tcPr>
            <w:tcW w:w="1270" w:type="dxa"/>
            <w:noWrap w:val="0"/>
            <w:vAlign w:val="top"/>
          </w:tcPr>
          <w:p>
            <w:pPr>
              <w:jc w:val="center"/>
              <w:rPr>
                <w:rFonts w:hint="default" w:ascii="宋体" w:hAnsi="宋体" w:cs="宋体"/>
                <w:bCs/>
                <w:sz w:val="20"/>
                <w:lang w:val="en-US" w:eastAsia="zh-CN"/>
              </w:rPr>
            </w:pPr>
            <w:r>
              <w:rPr>
                <w:sz w:val="20"/>
                <w:szCs w:val="20"/>
              </w:rPr>
              <w:t>1,848.56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8" w:hRule="atLeast"/>
        </w:trPr>
        <w:tc>
          <w:tcPr>
            <w:tcW w:w="672" w:type="dxa"/>
            <w:vMerge w:val="continue"/>
            <w:noWrap w:val="0"/>
            <w:vAlign w:val="center"/>
          </w:tcPr>
          <w:p>
            <w:pPr>
              <w:jc w:val="center"/>
              <w:rPr>
                <w:rFonts w:ascii="宋体" w:hAnsi="宋体" w:cs="宋体"/>
                <w:bCs/>
                <w:sz w:val="20"/>
              </w:rPr>
            </w:pPr>
          </w:p>
        </w:tc>
        <w:tc>
          <w:tcPr>
            <w:tcW w:w="1467" w:type="dxa"/>
            <w:vMerge w:val="continue"/>
            <w:noWrap w:val="0"/>
            <w:vAlign w:val="center"/>
          </w:tcPr>
          <w:p>
            <w:pPr>
              <w:jc w:val="center"/>
              <w:rPr>
                <w:rFonts w:ascii="宋体" w:hAnsi="宋体" w:cs="宋体"/>
                <w:bCs/>
                <w:sz w:val="20"/>
              </w:rPr>
            </w:pPr>
          </w:p>
        </w:tc>
        <w:tc>
          <w:tcPr>
            <w:tcW w:w="1295" w:type="dxa"/>
            <w:noWrap w:val="0"/>
            <w:vAlign w:val="center"/>
          </w:tcPr>
          <w:p>
            <w:pPr>
              <w:jc w:val="center"/>
              <w:rPr>
                <w:rFonts w:hint="default" w:ascii="宋体" w:hAnsi="宋体" w:eastAsia="宋体" w:cs="宋体"/>
                <w:bCs/>
                <w:sz w:val="20"/>
                <w:lang w:val="en-US" w:eastAsia="zh-CN"/>
              </w:rPr>
            </w:pPr>
            <w:r>
              <w:rPr>
                <w:rFonts w:hint="eastAsia"/>
                <w:sz w:val="20"/>
                <w:szCs w:val="20"/>
              </w:rPr>
              <w:t>固定资产</w:t>
            </w:r>
          </w:p>
        </w:tc>
        <w:tc>
          <w:tcPr>
            <w:tcW w:w="1210" w:type="dxa"/>
            <w:noWrap w:val="0"/>
            <w:vAlign w:val="top"/>
          </w:tcPr>
          <w:p>
            <w:pPr>
              <w:jc w:val="center"/>
              <w:rPr>
                <w:rFonts w:hint="default" w:ascii="宋体" w:hAnsi="宋体" w:eastAsia="宋体" w:cs="宋体"/>
                <w:bCs/>
                <w:sz w:val="20"/>
                <w:lang w:val="en-US" w:eastAsia="zh-CN"/>
              </w:rPr>
            </w:pPr>
            <w:r>
              <w:rPr>
                <w:sz w:val="20"/>
                <w:szCs w:val="20"/>
              </w:rPr>
              <w:t>24.63</w:t>
            </w:r>
          </w:p>
        </w:tc>
        <w:tc>
          <w:tcPr>
            <w:tcW w:w="1460" w:type="dxa"/>
            <w:noWrap w:val="0"/>
            <w:vAlign w:val="top"/>
          </w:tcPr>
          <w:p>
            <w:pPr>
              <w:jc w:val="center"/>
              <w:rPr>
                <w:rFonts w:hint="default" w:ascii="宋体" w:hAnsi="宋体" w:eastAsia="宋体" w:cs="宋体"/>
                <w:bCs/>
                <w:sz w:val="20"/>
                <w:lang w:val="en-US" w:eastAsia="zh-CN"/>
              </w:rPr>
            </w:pPr>
            <w:r>
              <w:rPr>
                <w:sz w:val="20"/>
                <w:szCs w:val="20"/>
              </w:rPr>
              <w:t>24.63</w:t>
            </w:r>
          </w:p>
        </w:tc>
        <w:tc>
          <w:tcPr>
            <w:tcW w:w="1146" w:type="dxa"/>
            <w:noWrap w:val="0"/>
            <w:vAlign w:val="top"/>
          </w:tcPr>
          <w:p>
            <w:pPr>
              <w:jc w:val="center"/>
              <w:rPr>
                <w:rFonts w:hint="default" w:ascii="宋体" w:hAnsi="宋体" w:eastAsia="宋体" w:cs="宋体"/>
                <w:bCs/>
                <w:sz w:val="20"/>
                <w:lang w:val="en-US" w:eastAsia="zh-CN"/>
              </w:rPr>
            </w:pPr>
            <w:r>
              <w:rPr>
                <w:sz w:val="20"/>
                <w:szCs w:val="20"/>
              </w:rPr>
              <w:t>0.00</w:t>
            </w:r>
          </w:p>
        </w:tc>
        <w:tc>
          <w:tcPr>
            <w:tcW w:w="1270" w:type="dxa"/>
            <w:noWrap w:val="0"/>
            <w:vAlign w:val="top"/>
          </w:tcPr>
          <w:p>
            <w:pPr>
              <w:jc w:val="center"/>
              <w:rPr>
                <w:rFonts w:hint="default" w:ascii="宋体" w:hAnsi="宋体" w:eastAsia="宋体" w:cs="宋体"/>
                <w:bCs/>
                <w:sz w:val="20"/>
                <w:lang w:val="en-US" w:eastAsia="zh-CN"/>
              </w:rPr>
            </w:pPr>
            <w:r>
              <w:rPr>
                <w:sz w:val="20"/>
                <w:szCs w:val="20"/>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9" w:hRule="atLeast"/>
        </w:trPr>
        <w:tc>
          <w:tcPr>
            <w:tcW w:w="672" w:type="dxa"/>
            <w:vMerge w:val="continue"/>
            <w:noWrap w:val="0"/>
            <w:vAlign w:val="center"/>
          </w:tcPr>
          <w:p>
            <w:pPr>
              <w:jc w:val="center"/>
              <w:rPr>
                <w:rFonts w:ascii="宋体" w:hAnsi="宋体" w:cs="宋体"/>
                <w:bCs/>
                <w:sz w:val="20"/>
              </w:rPr>
            </w:pPr>
          </w:p>
        </w:tc>
        <w:tc>
          <w:tcPr>
            <w:tcW w:w="1467" w:type="dxa"/>
            <w:vMerge w:val="continue"/>
            <w:noWrap w:val="0"/>
            <w:vAlign w:val="center"/>
          </w:tcPr>
          <w:p>
            <w:pPr>
              <w:jc w:val="center"/>
              <w:rPr>
                <w:rFonts w:ascii="宋体" w:hAnsi="宋体" w:cs="宋体"/>
                <w:bCs/>
                <w:sz w:val="20"/>
              </w:rPr>
            </w:pPr>
          </w:p>
        </w:tc>
        <w:tc>
          <w:tcPr>
            <w:tcW w:w="1295" w:type="dxa"/>
            <w:noWrap w:val="0"/>
            <w:vAlign w:val="center"/>
          </w:tcPr>
          <w:p>
            <w:pPr>
              <w:jc w:val="center"/>
              <w:outlineLvl w:val="0"/>
              <w:rPr>
                <w:rFonts w:hint="default" w:ascii="宋体" w:hAnsi="宋体" w:cs="宋体"/>
                <w:bCs/>
                <w:sz w:val="20"/>
                <w:lang w:val="en-US" w:eastAsia="zh-CN"/>
              </w:rPr>
            </w:pPr>
            <w:r>
              <w:rPr>
                <w:rFonts w:hint="eastAsia"/>
                <w:sz w:val="20"/>
                <w:szCs w:val="20"/>
              </w:rPr>
              <w:t>无形资产</w:t>
            </w:r>
          </w:p>
        </w:tc>
        <w:tc>
          <w:tcPr>
            <w:tcW w:w="1210" w:type="dxa"/>
            <w:noWrap w:val="0"/>
            <w:vAlign w:val="top"/>
          </w:tcPr>
          <w:p>
            <w:pPr>
              <w:jc w:val="center"/>
              <w:rPr>
                <w:rFonts w:hint="eastAsia" w:ascii="宋体" w:hAnsi="宋体" w:cs="宋体"/>
                <w:bCs/>
                <w:sz w:val="20"/>
                <w:lang w:val="en-US" w:eastAsia="zh-CN"/>
              </w:rPr>
            </w:pPr>
            <w:r>
              <w:rPr>
                <w:sz w:val="20"/>
                <w:szCs w:val="20"/>
              </w:rPr>
              <w:t>-</w:t>
            </w:r>
          </w:p>
        </w:tc>
        <w:tc>
          <w:tcPr>
            <w:tcW w:w="1460" w:type="dxa"/>
            <w:noWrap w:val="0"/>
            <w:vAlign w:val="top"/>
          </w:tcPr>
          <w:p>
            <w:pPr>
              <w:jc w:val="center"/>
              <w:rPr>
                <w:rFonts w:hint="eastAsia" w:ascii="宋体" w:hAnsi="宋体" w:cs="宋体"/>
                <w:bCs/>
                <w:sz w:val="20"/>
                <w:lang w:val="en-US" w:eastAsia="zh-CN"/>
              </w:rPr>
            </w:pPr>
            <w:r>
              <w:rPr>
                <w:sz w:val="20"/>
                <w:szCs w:val="20"/>
              </w:rPr>
              <w:t>455.21</w:t>
            </w:r>
          </w:p>
        </w:tc>
        <w:tc>
          <w:tcPr>
            <w:tcW w:w="1146" w:type="dxa"/>
            <w:noWrap w:val="0"/>
            <w:vAlign w:val="top"/>
          </w:tcPr>
          <w:p>
            <w:pPr>
              <w:jc w:val="center"/>
              <w:rPr>
                <w:rFonts w:hint="eastAsia" w:ascii="宋体" w:hAnsi="宋体" w:cs="宋体"/>
                <w:bCs/>
                <w:sz w:val="20"/>
                <w:lang w:val="en-US" w:eastAsia="zh-CN"/>
              </w:rPr>
            </w:pPr>
            <w:r>
              <w:rPr>
                <w:sz w:val="20"/>
                <w:szCs w:val="20"/>
              </w:rPr>
              <w:t>455.21</w:t>
            </w:r>
          </w:p>
        </w:tc>
        <w:tc>
          <w:tcPr>
            <w:tcW w:w="1270" w:type="dxa"/>
            <w:noWrap w:val="0"/>
            <w:vAlign w:val="top"/>
          </w:tcPr>
          <w:p>
            <w:pPr>
              <w:jc w:val="center"/>
              <w:rPr>
                <w:rFonts w:hint="eastAsia" w:ascii="宋体" w:hAnsi="宋体" w:cs="宋体"/>
                <w:bCs/>
                <w:sz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trPr>
        <w:tc>
          <w:tcPr>
            <w:tcW w:w="672" w:type="dxa"/>
            <w:vMerge w:val="continue"/>
            <w:noWrap w:val="0"/>
            <w:vAlign w:val="center"/>
          </w:tcPr>
          <w:p>
            <w:pPr>
              <w:jc w:val="center"/>
              <w:rPr>
                <w:rFonts w:ascii="宋体" w:hAnsi="宋体" w:cs="宋体"/>
                <w:bCs/>
                <w:sz w:val="20"/>
              </w:rPr>
            </w:pPr>
          </w:p>
        </w:tc>
        <w:tc>
          <w:tcPr>
            <w:tcW w:w="1467" w:type="dxa"/>
            <w:vMerge w:val="continue"/>
            <w:noWrap w:val="0"/>
            <w:vAlign w:val="center"/>
          </w:tcPr>
          <w:p>
            <w:pPr>
              <w:jc w:val="center"/>
              <w:rPr>
                <w:rFonts w:ascii="宋体" w:hAnsi="宋体" w:cs="宋体"/>
                <w:bCs/>
                <w:sz w:val="20"/>
              </w:rPr>
            </w:pPr>
          </w:p>
        </w:tc>
        <w:tc>
          <w:tcPr>
            <w:tcW w:w="1295" w:type="dxa"/>
            <w:noWrap w:val="0"/>
            <w:vAlign w:val="center"/>
          </w:tcPr>
          <w:p>
            <w:pPr>
              <w:jc w:val="center"/>
              <w:rPr>
                <w:rFonts w:hint="default" w:ascii="宋体" w:hAnsi="宋体" w:eastAsia="宋体" w:cs="宋体"/>
                <w:bCs/>
                <w:sz w:val="20"/>
                <w:lang w:val="en-US" w:eastAsia="zh-CN"/>
              </w:rPr>
            </w:pPr>
            <w:r>
              <w:fldChar w:fldCharType="begin"/>
            </w:r>
            <w:r>
              <w:instrText xml:space="preserve"> HYPERLINK "file:///C:\\Users\\jiaoy\\Desktop\\2019年项目\\19150115B莱特迈思\\报告及说明\\1、资产基础法评估明细表（北京总部）1.8-jiao.xlsx" \l "分类汇总!B62" </w:instrText>
            </w:r>
            <w:r>
              <w:fldChar w:fldCharType="separate"/>
            </w:r>
            <w:r>
              <w:rPr>
                <w:rStyle w:val="3"/>
                <w:rFonts w:hint="eastAsia"/>
                <w:b/>
                <w:bCs/>
                <w:color w:val="auto"/>
                <w:sz w:val="20"/>
                <w:szCs w:val="20"/>
                <w:u w:val="none"/>
              </w:rPr>
              <w:t>资产总计</w:t>
            </w:r>
            <w:r>
              <w:fldChar w:fldCharType="end"/>
            </w:r>
          </w:p>
        </w:tc>
        <w:tc>
          <w:tcPr>
            <w:tcW w:w="1210" w:type="dxa"/>
            <w:noWrap w:val="0"/>
            <w:vAlign w:val="top"/>
          </w:tcPr>
          <w:p>
            <w:pPr>
              <w:jc w:val="center"/>
              <w:rPr>
                <w:rFonts w:ascii="宋体" w:hAnsi="宋体" w:cs="宋体"/>
                <w:bCs/>
                <w:sz w:val="20"/>
              </w:rPr>
            </w:pPr>
            <w:r>
              <w:rPr>
                <w:b/>
                <w:bCs/>
                <w:sz w:val="20"/>
                <w:szCs w:val="20"/>
              </w:rPr>
              <w:t>24.63</w:t>
            </w:r>
          </w:p>
        </w:tc>
        <w:tc>
          <w:tcPr>
            <w:tcW w:w="1460" w:type="dxa"/>
            <w:noWrap w:val="0"/>
            <w:vAlign w:val="top"/>
          </w:tcPr>
          <w:p>
            <w:pPr>
              <w:jc w:val="center"/>
              <w:rPr>
                <w:rFonts w:ascii="宋体" w:hAnsi="宋体" w:cs="宋体"/>
                <w:bCs/>
                <w:sz w:val="20"/>
              </w:rPr>
            </w:pPr>
            <w:r>
              <w:rPr>
                <w:b/>
                <w:bCs/>
                <w:sz w:val="20"/>
                <w:szCs w:val="20"/>
              </w:rPr>
              <w:t>479.84</w:t>
            </w:r>
          </w:p>
        </w:tc>
        <w:tc>
          <w:tcPr>
            <w:tcW w:w="1146" w:type="dxa"/>
            <w:noWrap w:val="0"/>
            <w:vAlign w:val="top"/>
          </w:tcPr>
          <w:p>
            <w:pPr>
              <w:jc w:val="center"/>
              <w:rPr>
                <w:rFonts w:ascii="宋体" w:hAnsi="宋体" w:cs="宋体"/>
                <w:bCs/>
                <w:sz w:val="20"/>
              </w:rPr>
            </w:pPr>
            <w:r>
              <w:rPr>
                <w:b/>
                <w:bCs/>
                <w:sz w:val="20"/>
                <w:szCs w:val="20"/>
              </w:rPr>
              <w:t>455.21</w:t>
            </w:r>
          </w:p>
        </w:tc>
        <w:tc>
          <w:tcPr>
            <w:tcW w:w="1270" w:type="dxa"/>
            <w:noWrap w:val="0"/>
            <w:vAlign w:val="top"/>
          </w:tcPr>
          <w:p>
            <w:pPr>
              <w:jc w:val="center"/>
              <w:rPr>
                <w:rFonts w:ascii="宋体" w:hAnsi="宋体" w:cs="宋体"/>
                <w:bCs/>
                <w:sz w:val="20"/>
              </w:rPr>
            </w:pPr>
            <w:r>
              <w:rPr>
                <w:b/>
                <w:bCs/>
                <w:sz w:val="20"/>
                <w:szCs w:val="20"/>
              </w:rPr>
              <w:t>1,848.56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6" w:hRule="atLeast"/>
        </w:trPr>
        <w:tc>
          <w:tcPr>
            <w:tcW w:w="672" w:type="dxa"/>
            <w:noWrap w:val="0"/>
            <w:vAlign w:val="center"/>
          </w:tcPr>
          <w:p>
            <w:pPr>
              <w:jc w:val="center"/>
              <w:rPr>
                <w:rFonts w:ascii="宋体" w:hAnsi="宋体" w:cs="宋体"/>
                <w:bCs/>
                <w:sz w:val="20"/>
              </w:rPr>
            </w:pPr>
            <w:r>
              <w:rPr>
                <w:rFonts w:hint="eastAsia" w:ascii="宋体" w:hAnsi="宋体" w:cs="宋体"/>
                <w:bCs/>
                <w:sz w:val="20"/>
              </w:rPr>
              <w:t>7</w:t>
            </w:r>
          </w:p>
        </w:tc>
        <w:tc>
          <w:tcPr>
            <w:tcW w:w="1467" w:type="dxa"/>
            <w:noWrap w:val="0"/>
            <w:vAlign w:val="center"/>
          </w:tcPr>
          <w:p>
            <w:pPr>
              <w:jc w:val="center"/>
              <w:rPr>
                <w:rFonts w:ascii="宋体" w:hAnsi="宋体" w:cs="宋体"/>
                <w:bCs/>
                <w:sz w:val="20"/>
              </w:rPr>
            </w:pPr>
            <w:r>
              <w:rPr>
                <w:rFonts w:hint="eastAsia" w:ascii="宋体" w:hAnsi="宋体" w:cs="宋体"/>
                <w:bCs/>
                <w:sz w:val="20"/>
              </w:rPr>
              <w:t>评估资料查阅</w:t>
            </w:r>
          </w:p>
          <w:p>
            <w:pPr>
              <w:jc w:val="center"/>
              <w:rPr>
                <w:rFonts w:ascii="宋体" w:hAnsi="宋体" w:cs="宋体"/>
                <w:bCs/>
                <w:sz w:val="20"/>
              </w:rPr>
            </w:pPr>
            <w:r>
              <w:rPr>
                <w:rFonts w:hint="eastAsia" w:ascii="宋体" w:hAnsi="宋体" w:cs="宋体"/>
                <w:bCs/>
                <w:sz w:val="20"/>
              </w:rPr>
              <w:t>方式</w:t>
            </w:r>
          </w:p>
        </w:tc>
        <w:tc>
          <w:tcPr>
            <w:tcW w:w="6381" w:type="dxa"/>
            <w:gridSpan w:val="5"/>
            <w:noWrap w:val="0"/>
            <w:vAlign w:val="center"/>
          </w:tcPr>
          <w:p>
            <w:pPr>
              <w:jc w:val="left"/>
              <w:rPr>
                <w:rFonts w:ascii="宋体" w:hAnsi="宋体" w:cs="宋体"/>
                <w:bCs/>
                <w:sz w:val="20"/>
              </w:rPr>
            </w:pPr>
            <w:r>
              <w:rPr>
                <w:rFonts w:hint="eastAsia" w:ascii="宋体" w:hAnsi="宋体" w:cs="宋体"/>
                <w:bCs/>
                <w:sz w:val="20"/>
              </w:rPr>
              <w:t>评估</w:t>
            </w:r>
            <w:r>
              <w:rPr>
                <w:rFonts w:hint="eastAsia" w:ascii="宋体" w:hAnsi="宋体" w:cs="宋体"/>
                <w:bCs/>
                <w:sz w:val="20"/>
                <w:lang w:val="en-US" w:eastAsia="zh-CN"/>
              </w:rPr>
              <w:t>决策依据</w:t>
            </w:r>
            <w:r>
              <w:rPr>
                <w:rFonts w:hint="eastAsia" w:ascii="宋体" w:hAnsi="宋体" w:cs="宋体"/>
                <w:bCs/>
                <w:sz w:val="20"/>
              </w:rPr>
              <w:t>、比选评估机构</w:t>
            </w:r>
            <w:r>
              <w:rPr>
                <w:rFonts w:hint="eastAsia" w:ascii="宋体" w:hAnsi="宋体" w:cs="宋体"/>
                <w:bCs/>
                <w:sz w:val="20"/>
                <w:lang w:val="en-US" w:eastAsia="zh-CN"/>
              </w:rPr>
              <w:t>资料及</w:t>
            </w:r>
            <w:r>
              <w:rPr>
                <w:rFonts w:hint="eastAsia" w:ascii="宋体" w:hAnsi="宋体" w:cs="宋体"/>
                <w:bCs/>
                <w:sz w:val="20"/>
              </w:rPr>
              <w:t>评估报告初稿纸质及电子资料在</w:t>
            </w:r>
            <w:r>
              <w:rPr>
                <w:rFonts w:hint="eastAsia" w:ascii="宋体" w:hAnsi="宋体" w:cs="宋体"/>
                <w:bCs/>
                <w:sz w:val="20"/>
                <w:lang w:val="en-US" w:eastAsia="zh-CN"/>
              </w:rPr>
              <w:t>中国煤炭地质总局资产财务部</w:t>
            </w:r>
            <w:r>
              <w:rPr>
                <w:rFonts w:hint="eastAsia" w:ascii="宋体" w:hAnsi="宋体" w:cs="宋体"/>
                <w:bCs/>
                <w:sz w:val="20"/>
              </w:rPr>
              <w:t>。</w:t>
            </w:r>
          </w:p>
        </w:tc>
      </w:tr>
    </w:tbl>
    <w:p>
      <w:pPr>
        <w:rPr>
          <w:rFonts w:hint="eastAsia" w:ascii="宋体" w:hAnsi="宋体" w:cs="宋体"/>
          <w:bCs/>
          <w:sz w:val="20"/>
        </w:rPr>
      </w:pPr>
    </w:p>
    <w:p>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8A0ABE"/>
    <w:rsid w:val="118A0A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2">
    <w:name w:val="Default Paragraph Font"/>
    <w:semiHidden/>
    <w:qFormat/>
    <w:uiPriority w:val="0"/>
  </w:style>
  <w:style w:type="table" w:default="1" w:styleId="4">
    <w:name w:val="Normal Table"/>
    <w:semiHidden/>
    <w:uiPriority w:val="0"/>
    <w:tblPr>
      <w:tblLayout w:type="fixed"/>
      <w:tblCellMar>
        <w:top w:w="0" w:type="dxa"/>
        <w:left w:w="108" w:type="dxa"/>
        <w:bottom w:w="0" w:type="dxa"/>
        <w:right w:w="108" w:type="dxa"/>
      </w:tblCellMar>
    </w:tblPr>
  </w:style>
  <w:style w:type="character" w:styleId="3">
    <w:name w:val="Hyperlink"/>
    <w:unhideWhenUsed/>
    <w:qFormat/>
    <w:uiPriority w:val="99"/>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2021-11-11T06:43:00Z</dcterms:created>
  <dc:creator>赵龙</dc:creator>
  <cp:lastModifiedBy>赵龙</cp:lastModifiedBy>
  <dcterms:modified xsi:type="dcterms:W3CDTF">2021-11-11T06:44:11Z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