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28"/>
          <w:szCs w:val="28"/>
        </w:rPr>
      </w:pPr>
      <w:r>
        <w:rPr>
          <w:rFonts w:hint="eastAsia" w:ascii="黑体" w:hAnsi="黑体" w:eastAsia="黑体" w:cs="黑体"/>
          <w:bCs/>
          <w:sz w:val="28"/>
          <w:szCs w:val="28"/>
        </w:rPr>
        <w:t>附件：</w:t>
      </w:r>
    </w:p>
    <w:p>
      <w:pPr>
        <w:jc w:val="center"/>
        <w:rPr>
          <w:rFonts w:ascii="宋体" w:hAnsi="宋体" w:cs="宋体"/>
          <w:bCs/>
          <w:sz w:val="20"/>
        </w:rPr>
      </w:pPr>
      <w:r>
        <w:rPr>
          <w:rFonts w:hint="eastAsia" w:ascii="黑体" w:hAnsi="黑体" w:eastAsia="黑体" w:cs="黑体"/>
          <w:bCs/>
          <w:sz w:val="30"/>
          <w:szCs w:val="30"/>
        </w:rPr>
        <w:t>中国煤炭地质总局资产评估项目公示表</w:t>
      </w:r>
    </w:p>
    <w:p>
      <w:pPr>
        <w:widowControl/>
        <w:jc w:val="left"/>
        <w:rPr>
          <w:rFonts w:hint="eastAsia" w:ascii="Times New Roman Regular" w:hAnsi="Times New Roman Regular" w:cs="Times New Roman Regular"/>
          <w:szCs w:val="24"/>
        </w:rPr>
      </w:pPr>
      <w:r>
        <w:rPr>
          <w:rFonts w:hint="eastAsia" w:ascii="Times New Roman Regular" w:hAnsi="Times New Roman Regular" w:cs="Times New Roman Regular"/>
          <w:szCs w:val="24"/>
        </w:rPr>
        <w:t>评估项目：</w:t>
      </w:r>
      <w:r>
        <w:rPr>
          <w:rFonts w:ascii="Times New Roman Regular" w:hAnsi="Times New Roman Regular" w:cs="Times New Roman Regular"/>
          <w:szCs w:val="24"/>
        </w:rPr>
        <w:t>四川鑫硕环境检测有限公司股东全部权益</w:t>
      </w:r>
      <w:r>
        <w:rPr>
          <w:rFonts w:hint="eastAsia" w:ascii="Times New Roman Regular" w:hAnsi="Times New Roman Regular" w:cs="Times New Roman Regular"/>
          <w:szCs w:val="24"/>
          <w:lang w:eastAsia="zh-CN"/>
        </w:rPr>
        <w:t>价值</w:t>
      </w:r>
      <w:r>
        <w:rPr>
          <w:rFonts w:hint="eastAsia" w:ascii="Times New Roman Regular" w:hAnsi="Times New Roman Regular" w:cs="Times New Roman Regular"/>
          <w:szCs w:val="24"/>
        </w:rPr>
        <w:t>资产评</w:t>
      </w:r>
      <w:bookmarkStart w:id="2" w:name="_GoBack"/>
      <w:bookmarkEnd w:id="2"/>
      <w:r>
        <w:rPr>
          <w:rFonts w:hint="eastAsia" w:ascii="Times New Roman Regular" w:hAnsi="Times New Roman Regular" w:cs="Times New Roman Regular"/>
          <w:szCs w:val="24"/>
        </w:rPr>
        <w:t>估</w:t>
      </w:r>
    </w:p>
    <w:p>
      <w:pPr>
        <w:widowControl/>
        <w:jc w:val="left"/>
        <w:rPr>
          <w:rFonts w:ascii="Times New Roman Regular" w:hAnsi="Times New Roman Regular" w:cs="Times New Roman Regular"/>
          <w:szCs w:val="24"/>
        </w:rPr>
      </w:pPr>
      <w:r>
        <w:rPr>
          <w:rFonts w:hint="eastAsia" w:ascii="Times New Roman Regular" w:hAnsi="Times New Roman Regular" w:cs="Times New Roman Regular"/>
          <w:szCs w:val="24"/>
        </w:rPr>
        <w:t>公示期限：2022年3月10日至2022年3月1</w:t>
      </w:r>
      <w:r>
        <w:rPr>
          <w:rFonts w:hint="eastAsia" w:ascii="Times New Roman Regular" w:hAnsi="Times New Roman Regular" w:cs="Times New Roman Regular"/>
          <w:szCs w:val="24"/>
          <w:lang w:val="en-US" w:eastAsia="zh-CN"/>
        </w:rPr>
        <w:t>6</w:t>
      </w:r>
      <w:r>
        <w:rPr>
          <w:rFonts w:hint="eastAsia" w:ascii="Times New Roman Regular" w:hAnsi="Times New Roman Regular" w:cs="Times New Roman Regular"/>
          <w:szCs w:val="24"/>
        </w:rPr>
        <w:t>日</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467"/>
        <w:gridCol w:w="1295"/>
        <w:gridCol w:w="1210"/>
        <w:gridCol w:w="1460"/>
        <w:gridCol w:w="1146"/>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2" w:type="dxa"/>
            <w:noWrap w:val="0"/>
            <w:vAlign w:val="center"/>
          </w:tcPr>
          <w:p>
            <w:pPr>
              <w:jc w:val="center"/>
              <w:rPr>
                <w:rFonts w:ascii="宋体" w:hAnsi="宋体" w:cs="宋体"/>
                <w:bCs/>
                <w:sz w:val="20"/>
              </w:rPr>
            </w:pPr>
            <w:r>
              <w:rPr>
                <w:rFonts w:hint="eastAsia" w:ascii="宋体" w:hAnsi="宋体" w:cs="宋体"/>
                <w:bCs/>
                <w:sz w:val="20"/>
              </w:rPr>
              <w:t>序号</w:t>
            </w:r>
          </w:p>
        </w:tc>
        <w:tc>
          <w:tcPr>
            <w:tcW w:w="1467" w:type="dxa"/>
            <w:noWrap w:val="0"/>
            <w:vAlign w:val="center"/>
          </w:tcPr>
          <w:p>
            <w:pPr>
              <w:jc w:val="center"/>
              <w:rPr>
                <w:rFonts w:ascii="宋体" w:hAnsi="宋体" w:cs="宋体"/>
                <w:bCs/>
                <w:sz w:val="20"/>
              </w:rPr>
            </w:pPr>
            <w:r>
              <w:rPr>
                <w:rFonts w:hint="eastAsia" w:ascii="宋体" w:hAnsi="宋体" w:cs="宋体"/>
                <w:bCs/>
                <w:sz w:val="20"/>
              </w:rPr>
              <w:t>公示项目</w:t>
            </w:r>
          </w:p>
        </w:tc>
        <w:tc>
          <w:tcPr>
            <w:tcW w:w="6381" w:type="dxa"/>
            <w:gridSpan w:val="5"/>
            <w:noWrap w:val="0"/>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72" w:type="dxa"/>
            <w:noWrap w:val="0"/>
            <w:vAlign w:val="center"/>
          </w:tcPr>
          <w:p>
            <w:pPr>
              <w:jc w:val="center"/>
              <w:rPr>
                <w:rFonts w:ascii="宋体" w:hAnsi="宋体" w:cs="宋体"/>
                <w:bCs/>
                <w:sz w:val="20"/>
              </w:rPr>
            </w:pPr>
            <w:r>
              <w:rPr>
                <w:rFonts w:hint="eastAsia" w:ascii="宋体" w:hAnsi="宋体" w:cs="宋体"/>
                <w:bCs/>
                <w:sz w:val="20"/>
              </w:rPr>
              <w:t>1</w:t>
            </w:r>
          </w:p>
        </w:tc>
        <w:tc>
          <w:tcPr>
            <w:tcW w:w="1467" w:type="dxa"/>
            <w:noWrap w:val="0"/>
            <w:vAlign w:val="center"/>
          </w:tcPr>
          <w:p>
            <w:pPr>
              <w:jc w:val="center"/>
              <w:rPr>
                <w:rFonts w:ascii="宋体" w:hAnsi="宋体" w:cs="宋体"/>
                <w:bCs/>
                <w:sz w:val="20"/>
              </w:rPr>
            </w:pPr>
            <w:r>
              <w:rPr>
                <w:rFonts w:hint="eastAsia" w:ascii="宋体" w:hAnsi="宋体" w:cs="宋体"/>
                <w:bCs/>
                <w:sz w:val="20"/>
              </w:rPr>
              <w:t>经济行为批准</w:t>
            </w:r>
          </w:p>
          <w:p>
            <w:pPr>
              <w:jc w:val="center"/>
              <w:rPr>
                <w:rFonts w:ascii="宋体" w:hAnsi="宋体" w:cs="宋体"/>
                <w:bCs/>
                <w:sz w:val="20"/>
              </w:rPr>
            </w:pPr>
            <w:r>
              <w:rPr>
                <w:rFonts w:hint="eastAsia" w:ascii="宋体" w:hAnsi="宋体" w:cs="宋体"/>
                <w:bCs/>
                <w:sz w:val="20"/>
              </w:rPr>
              <w:t>文件</w:t>
            </w:r>
          </w:p>
        </w:tc>
        <w:tc>
          <w:tcPr>
            <w:tcW w:w="6381" w:type="dxa"/>
            <w:gridSpan w:val="5"/>
            <w:noWrap w:val="0"/>
            <w:vAlign w:val="center"/>
          </w:tcPr>
          <w:p>
            <w:pPr>
              <w:rPr>
                <w:rFonts w:hint="eastAsia" w:ascii="宋体" w:hAnsi="宋体" w:cs="宋体"/>
                <w:bCs/>
                <w:sz w:val="20"/>
              </w:rPr>
            </w:pPr>
            <w:r>
              <w:rPr>
                <w:rFonts w:hint="eastAsia" w:ascii="宋体" w:hAnsi="宋体" w:cs="Times New Roman Regular"/>
                <w:sz w:val="20"/>
              </w:rPr>
              <w:t>《中国煤炭地质总局水文地质局2021年第六次党委会会议纪要》（局党委〔2021〕7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72" w:type="dxa"/>
            <w:noWrap w:val="0"/>
            <w:vAlign w:val="center"/>
          </w:tcPr>
          <w:p>
            <w:pPr>
              <w:jc w:val="center"/>
              <w:rPr>
                <w:rFonts w:ascii="宋体" w:hAnsi="宋体" w:cs="宋体"/>
                <w:bCs/>
                <w:sz w:val="20"/>
              </w:rPr>
            </w:pPr>
            <w:r>
              <w:rPr>
                <w:rFonts w:hint="eastAsia" w:ascii="宋体" w:hAnsi="宋体" w:cs="宋体"/>
                <w:bCs/>
                <w:sz w:val="20"/>
              </w:rPr>
              <w:t>2</w:t>
            </w:r>
          </w:p>
        </w:tc>
        <w:tc>
          <w:tcPr>
            <w:tcW w:w="1467" w:type="dxa"/>
            <w:noWrap w:val="0"/>
            <w:vAlign w:val="center"/>
          </w:tcPr>
          <w:p>
            <w:pPr>
              <w:jc w:val="center"/>
              <w:rPr>
                <w:rFonts w:ascii="宋体" w:hAnsi="宋体" w:cs="宋体"/>
                <w:bCs/>
                <w:sz w:val="20"/>
              </w:rPr>
            </w:pPr>
            <w:r>
              <w:rPr>
                <w:rFonts w:hint="eastAsia" w:ascii="宋体" w:hAnsi="宋体" w:cs="宋体"/>
                <w:bCs/>
                <w:sz w:val="20"/>
              </w:rPr>
              <w:t>评估机构选聘</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rPr>
                <w:rFonts w:ascii="宋体" w:hAnsi="宋体" w:cs="宋体"/>
                <w:bCs/>
                <w:sz w:val="20"/>
              </w:rPr>
            </w:pPr>
            <w:r>
              <w:rPr>
                <w:rFonts w:hint="eastAsia" w:ascii="宋体" w:hAnsi="宋体" w:cs="宋体"/>
                <w:bCs/>
                <w:sz w:val="20"/>
              </w:rPr>
              <w:t>根据《总局投资管理办法》（中煤地发规划[2020]413号）和拟收购的企业市值，此收购事项为中煤水文局集团自主决策。中煤水文局集团按照总局招采规则，采取网上公开询价方式，从总局评估机构备选库中择优选取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72" w:type="dxa"/>
            <w:noWrap w:val="0"/>
            <w:vAlign w:val="center"/>
          </w:tcPr>
          <w:p>
            <w:pPr>
              <w:jc w:val="center"/>
              <w:rPr>
                <w:rFonts w:ascii="宋体" w:hAnsi="宋体" w:cs="宋体"/>
                <w:bCs/>
                <w:sz w:val="20"/>
              </w:rPr>
            </w:pPr>
          </w:p>
          <w:p>
            <w:pPr>
              <w:jc w:val="center"/>
              <w:rPr>
                <w:rFonts w:ascii="宋体" w:hAnsi="宋体" w:cs="宋体"/>
                <w:bCs/>
                <w:sz w:val="20"/>
              </w:rPr>
            </w:pPr>
            <w:r>
              <w:rPr>
                <w:rFonts w:hint="eastAsia" w:ascii="宋体" w:hAnsi="宋体" w:cs="宋体"/>
                <w:bCs/>
                <w:sz w:val="20"/>
              </w:rPr>
              <w:t>3</w:t>
            </w:r>
          </w:p>
        </w:tc>
        <w:tc>
          <w:tcPr>
            <w:tcW w:w="1467" w:type="dxa"/>
            <w:noWrap w:val="0"/>
            <w:vAlign w:val="center"/>
          </w:tcPr>
          <w:p>
            <w:pPr>
              <w:jc w:val="center"/>
              <w:rPr>
                <w:rFonts w:ascii="宋体" w:hAnsi="宋体" w:cs="宋体"/>
                <w:bCs/>
                <w:sz w:val="20"/>
              </w:rPr>
            </w:pPr>
            <w:r>
              <w:rPr>
                <w:rFonts w:hint="eastAsia" w:ascii="宋体" w:hAnsi="宋体" w:cs="宋体"/>
                <w:bCs/>
                <w:sz w:val="20"/>
              </w:rPr>
              <w:t>评估机构及评估师资质</w:t>
            </w:r>
          </w:p>
        </w:tc>
        <w:tc>
          <w:tcPr>
            <w:tcW w:w="6381" w:type="dxa"/>
            <w:gridSpan w:val="5"/>
            <w:noWrap w:val="0"/>
            <w:vAlign w:val="center"/>
          </w:tcPr>
          <w:p>
            <w:pPr>
              <w:rPr>
                <w:rFonts w:ascii="宋体" w:hAnsi="宋体" w:cs="宋体"/>
                <w:bCs/>
                <w:sz w:val="20"/>
              </w:rPr>
            </w:pPr>
            <w:r>
              <w:rPr>
                <w:rFonts w:hint="eastAsia" w:ascii="宋体" w:hAnsi="宋体" w:cs="宋体"/>
                <w:bCs/>
                <w:sz w:val="20"/>
              </w:rPr>
              <w:t>北京仁达房地产土地资产评估有限公司：</w:t>
            </w:r>
            <w:r>
              <w:rPr>
                <w:rFonts w:hint="eastAsia" w:ascii="宋体" w:hAnsi="宋体" w:cs="宋体"/>
                <w:bCs/>
                <w:sz w:val="20"/>
                <w:lang w:eastAsia="zh-Hans"/>
              </w:rPr>
              <w:t>赵芹11170087</w:t>
            </w:r>
            <w:r>
              <w:rPr>
                <w:rFonts w:hint="eastAsia" w:ascii="宋体" w:hAnsi="宋体" w:cs="宋体"/>
                <w:bCs/>
                <w:sz w:val="20"/>
              </w:rPr>
              <w:t xml:space="preserve"> ；</w:t>
            </w:r>
            <w:r>
              <w:rPr>
                <w:rFonts w:hint="eastAsia" w:ascii="宋体" w:hAnsi="宋体" w:cs="宋体"/>
                <w:bCs/>
                <w:sz w:val="20"/>
                <w:lang w:eastAsia="zh-Hans"/>
              </w:rPr>
              <w:t>王敏</w:t>
            </w:r>
            <w:r>
              <w:rPr>
                <w:rFonts w:hint="eastAsia" w:ascii="宋体" w:hAnsi="宋体" w:cs="宋体"/>
                <w:bCs/>
                <w:sz w:val="20"/>
              </w:rPr>
              <w:t xml:space="preserve"> 11200057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672" w:type="dxa"/>
            <w:noWrap w:val="0"/>
            <w:vAlign w:val="center"/>
          </w:tcPr>
          <w:p>
            <w:pPr>
              <w:jc w:val="center"/>
              <w:rPr>
                <w:rFonts w:ascii="宋体" w:hAnsi="宋体" w:cs="宋体"/>
                <w:bCs/>
                <w:sz w:val="20"/>
              </w:rPr>
            </w:pPr>
            <w:r>
              <w:rPr>
                <w:rFonts w:hint="eastAsia" w:ascii="宋体" w:hAnsi="宋体" w:cs="宋体"/>
                <w:bCs/>
                <w:sz w:val="20"/>
              </w:rPr>
              <w:t>4</w:t>
            </w:r>
          </w:p>
        </w:tc>
        <w:tc>
          <w:tcPr>
            <w:tcW w:w="1467" w:type="dxa"/>
            <w:noWrap w:val="0"/>
            <w:vAlign w:val="center"/>
          </w:tcPr>
          <w:p>
            <w:pPr>
              <w:jc w:val="center"/>
              <w:rPr>
                <w:rFonts w:ascii="宋体" w:hAnsi="宋体" w:cs="宋体"/>
                <w:bCs/>
                <w:sz w:val="20"/>
              </w:rPr>
            </w:pPr>
            <w:r>
              <w:rPr>
                <w:rFonts w:hint="eastAsia" w:ascii="宋体" w:hAnsi="宋体" w:cs="宋体"/>
                <w:bCs/>
                <w:sz w:val="20"/>
              </w:rPr>
              <w:t>评估程序履行及审核情况</w:t>
            </w:r>
          </w:p>
        </w:tc>
        <w:tc>
          <w:tcPr>
            <w:tcW w:w="6381" w:type="dxa"/>
            <w:gridSpan w:val="5"/>
            <w:noWrap w:val="0"/>
            <w:vAlign w:val="center"/>
          </w:tcPr>
          <w:p>
            <w:pPr>
              <w:widowControl/>
              <w:jc w:val="left"/>
              <w:rPr>
                <w:rFonts w:ascii="宋体" w:hAnsi="宋体" w:cs="宋体"/>
                <w:bCs/>
                <w:sz w:val="20"/>
              </w:rPr>
            </w:pPr>
            <w:r>
              <w:rPr>
                <w:rFonts w:hint="eastAsia" w:ascii="宋体" w:hAnsi="宋体" w:cs="宋体"/>
                <w:bCs/>
                <w:sz w:val="20"/>
              </w:rPr>
              <w:t>中煤水文局集团有限公司选聘北京仁达房地产土地资产评估有限公司对四川鑫硕环境检测有限公司股东全部权益的市场价值开展评估工作，并对评估报告初稿进行了审核，中国煤炭地质总局委托专家对评估报告进行了复审，并出具了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4" w:hRule="atLeast"/>
        </w:trPr>
        <w:tc>
          <w:tcPr>
            <w:tcW w:w="672" w:type="dxa"/>
            <w:noWrap w:val="0"/>
            <w:vAlign w:val="center"/>
          </w:tcPr>
          <w:p>
            <w:pPr>
              <w:jc w:val="center"/>
              <w:rPr>
                <w:rFonts w:ascii="宋体" w:hAnsi="宋体" w:cs="宋体"/>
                <w:bCs/>
                <w:sz w:val="20"/>
              </w:rPr>
            </w:pPr>
            <w:r>
              <w:rPr>
                <w:rFonts w:hint="eastAsia" w:ascii="宋体" w:hAnsi="宋体" w:cs="宋体"/>
                <w:bCs/>
                <w:sz w:val="20"/>
              </w:rPr>
              <w:t>5</w:t>
            </w:r>
          </w:p>
        </w:tc>
        <w:tc>
          <w:tcPr>
            <w:tcW w:w="1467" w:type="dxa"/>
            <w:noWrap w:val="0"/>
            <w:vAlign w:val="center"/>
          </w:tcPr>
          <w:p>
            <w:pPr>
              <w:jc w:val="center"/>
              <w:rPr>
                <w:rFonts w:ascii="宋体" w:hAnsi="宋体" w:cs="宋体"/>
                <w:bCs/>
                <w:sz w:val="20"/>
              </w:rPr>
            </w:pPr>
            <w:r>
              <w:rPr>
                <w:rFonts w:hint="eastAsia" w:ascii="宋体" w:hAnsi="宋体" w:cs="宋体"/>
                <w:bCs/>
                <w:sz w:val="20"/>
              </w:rPr>
              <w:t>评估报告摘要和特别事项说明</w:t>
            </w:r>
          </w:p>
        </w:tc>
        <w:tc>
          <w:tcPr>
            <w:tcW w:w="6381" w:type="dxa"/>
            <w:gridSpan w:val="5"/>
            <w:noWrap w:val="0"/>
            <w:vAlign w:val="center"/>
          </w:tcPr>
          <w:p>
            <w:pPr>
              <w:widowControl/>
              <w:jc w:val="left"/>
              <w:rPr>
                <w:rFonts w:ascii="宋体" w:hAnsi="宋体" w:cs="宋体"/>
                <w:bCs/>
                <w:sz w:val="20"/>
              </w:rPr>
            </w:pPr>
            <w:r>
              <w:rPr>
                <w:rFonts w:hint="eastAsia" w:ascii="宋体" w:hAnsi="宋体" w:cs="宋体"/>
                <w:bCs/>
                <w:sz w:val="20"/>
              </w:rPr>
              <w:t>评估报告摘要：北京仁达房地产土地资产评估有限公司接受中煤水文局集团有限公司的委托，按照有关法律、行政法规和资产评估准则的规定，坚持独立、客观、公正的原则，采用资产基础法和收益法，按照必要的评估程序，对中煤水文局集团有限公司拟收购四川鑫硕环境检测有限公司股权而涉及的四川鑫硕环境检测有限公司股东全部权益在2021年09月30日的市场价值进行了评估。经过对被评估单位财务状况的调查及经营状况分析，结合本次资产评估对象、评估目的，适用的价值类型，经过比较分析，认为收益法的评估结论能更全面、合理地反映企业的内含价值，故本次评估采用收益法评估结果作为本次评估的最终评估结论。</w:t>
            </w:r>
            <w:bookmarkStart w:id="0" w:name="_Hlk47168619"/>
            <w:bookmarkStart w:id="1" w:name="_Hlk47168299"/>
            <w:r>
              <w:rPr>
                <w:rFonts w:hint="eastAsia" w:ascii="宋体" w:hAnsi="宋体" w:cs="宋体"/>
                <w:bCs/>
                <w:sz w:val="20"/>
              </w:rPr>
              <w:t>经收益法评估，四川鑫硕环境检测有限公司的股东全部权益价值评估值为 1,415.20万元，评估基准日净资产账面价值1,018.60 万元，评估增值396.60万元，增值率38.94%。</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2" w:type="dxa"/>
            <w:vMerge w:val="restart"/>
            <w:noWrap w:val="0"/>
            <w:vAlign w:val="center"/>
          </w:tcPr>
          <w:p>
            <w:pPr>
              <w:jc w:val="center"/>
              <w:rPr>
                <w:rFonts w:ascii="宋体" w:hAnsi="宋体" w:cs="宋体"/>
                <w:bCs/>
                <w:sz w:val="20"/>
              </w:rPr>
            </w:pPr>
            <w:r>
              <w:rPr>
                <w:rFonts w:hint="eastAsia" w:ascii="宋体" w:hAnsi="宋体" w:cs="宋体"/>
                <w:bCs/>
                <w:sz w:val="20"/>
              </w:rPr>
              <w:t>6</w:t>
            </w:r>
          </w:p>
        </w:tc>
        <w:tc>
          <w:tcPr>
            <w:tcW w:w="1467" w:type="dxa"/>
            <w:vMerge w:val="restart"/>
            <w:noWrap w:val="0"/>
            <w:vAlign w:val="center"/>
          </w:tcPr>
          <w:p>
            <w:pPr>
              <w:jc w:val="center"/>
              <w:rPr>
                <w:rFonts w:hint="eastAsia" w:ascii="宋体" w:hAnsi="宋体" w:cs="宋体"/>
                <w:bCs/>
                <w:sz w:val="20"/>
              </w:rPr>
            </w:pPr>
            <w:r>
              <w:rPr>
                <w:rFonts w:hint="eastAsia" w:ascii="宋体" w:hAnsi="宋体" w:cs="宋体"/>
                <w:bCs/>
                <w:sz w:val="20"/>
              </w:rPr>
              <w:t>评估结果</w:t>
            </w:r>
          </w:p>
          <w:p>
            <w:pPr>
              <w:jc w:val="center"/>
              <w:rPr>
                <w:rFonts w:ascii="宋体" w:hAnsi="宋体" w:cs="宋体"/>
                <w:bCs/>
                <w:sz w:val="20"/>
              </w:rPr>
            </w:pPr>
            <w:r>
              <w:rPr>
                <w:rFonts w:hint="eastAsia" w:ascii="宋体" w:hAnsi="宋体" w:cs="宋体"/>
                <w:bCs/>
                <w:sz w:val="20"/>
              </w:rPr>
              <w:t>汇总表</w:t>
            </w:r>
          </w:p>
          <w:p>
            <w:pPr>
              <w:jc w:val="center"/>
              <w:rPr>
                <w:rFonts w:ascii="宋体" w:hAnsi="宋体" w:cs="宋体"/>
                <w:bCs/>
                <w:sz w:val="20"/>
              </w:rPr>
            </w:pPr>
            <w:r>
              <w:rPr>
                <w:rFonts w:hint="eastAsia" w:ascii="宋体" w:hAnsi="宋体" w:cs="宋体"/>
                <w:bCs/>
                <w:sz w:val="20"/>
              </w:rPr>
              <w:t>（单位：万元）</w:t>
            </w:r>
          </w:p>
        </w:tc>
        <w:tc>
          <w:tcPr>
            <w:tcW w:w="1295" w:type="dxa"/>
            <w:noWrap w:val="0"/>
            <w:vAlign w:val="center"/>
          </w:tcPr>
          <w:p>
            <w:pPr>
              <w:jc w:val="center"/>
              <w:rPr>
                <w:rFonts w:ascii="宋体" w:hAnsi="宋体" w:cs="宋体"/>
                <w:bCs/>
                <w:sz w:val="20"/>
              </w:rPr>
            </w:pPr>
            <w:r>
              <w:rPr>
                <w:rFonts w:hint="eastAsia" w:ascii="宋体" w:hAnsi="宋体" w:cs="宋体"/>
                <w:bCs/>
                <w:sz w:val="20"/>
              </w:rPr>
              <w:t>项  目</w:t>
            </w:r>
          </w:p>
        </w:tc>
        <w:tc>
          <w:tcPr>
            <w:tcW w:w="1210" w:type="dxa"/>
            <w:noWrap w:val="0"/>
            <w:vAlign w:val="center"/>
          </w:tcPr>
          <w:p>
            <w:pPr>
              <w:jc w:val="center"/>
              <w:rPr>
                <w:rFonts w:ascii="宋体" w:hAnsi="宋体" w:cs="宋体"/>
                <w:bCs/>
                <w:sz w:val="20"/>
              </w:rPr>
            </w:pPr>
            <w:r>
              <w:rPr>
                <w:rFonts w:hint="eastAsia" w:ascii="宋体" w:hAnsi="宋体" w:cs="宋体"/>
                <w:bCs/>
                <w:sz w:val="20"/>
              </w:rPr>
              <w:t>账面价值</w:t>
            </w:r>
          </w:p>
        </w:tc>
        <w:tc>
          <w:tcPr>
            <w:tcW w:w="1460" w:type="dxa"/>
            <w:noWrap w:val="0"/>
            <w:vAlign w:val="center"/>
          </w:tcPr>
          <w:p>
            <w:pPr>
              <w:jc w:val="center"/>
              <w:rPr>
                <w:rFonts w:hint="eastAsia" w:ascii="宋体" w:hAnsi="宋体" w:cs="宋体"/>
                <w:bCs/>
                <w:sz w:val="20"/>
              </w:rPr>
            </w:pPr>
            <w:r>
              <w:rPr>
                <w:rFonts w:hint="eastAsia" w:ascii="宋体" w:hAnsi="宋体" w:cs="宋体"/>
                <w:bCs/>
                <w:sz w:val="20"/>
              </w:rPr>
              <w:t>评估值</w:t>
            </w:r>
          </w:p>
        </w:tc>
        <w:tc>
          <w:tcPr>
            <w:tcW w:w="1146" w:type="dxa"/>
            <w:noWrap w:val="0"/>
            <w:vAlign w:val="center"/>
          </w:tcPr>
          <w:p>
            <w:pPr>
              <w:jc w:val="center"/>
              <w:rPr>
                <w:rFonts w:ascii="宋体" w:hAnsi="宋体" w:cs="宋体"/>
                <w:bCs/>
                <w:sz w:val="20"/>
              </w:rPr>
            </w:pPr>
            <w:r>
              <w:rPr>
                <w:rFonts w:hint="eastAsia" w:ascii="宋体" w:hAnsi="宋体" w:cs="宋体"/>
                <w:bCs/>
                <w:sz w:val="20"/>
              </w:rPr>
              <w:t>增值额</w:t>
            </w:r>
          </w:p>
        </w:tc>
        <w:tc>
          <w:tcPr>
            <w:tcW w:w="1270" w:type="dxa"/>
            <w:noWrap w:val="0"/>
            <w:vAlign w:val="center"/>
          </w:tcPr>
          <w:p>
            <w:pPr>
              <w:jc w:val="center"/>
              <w:rPr>
                <w:rFonts w:ascii="宋体" w:hAnsi="宋体" w:cs="宋体"/>
                <w:bCs/>
                <w:sz w:val="20"/>
              </w:rPr>
            </w:pPr>
            <w:r>
              <w:rPr>
                <w:rFonts w:hint="eastAsia" w:ascii="宋体" w:hAnsi="宋体" w:cs="宋体"/>
                <w:bCs/>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2" w:type="dxa"/>
            <w:vMerge w:val="continue"/>
            <w:noWrap w:val="0"/>
            <w:vAlign w:val="center"/>
          </w:tcPr>
          <w:p>
            <w:pPr>
              <w:jc w:val="center"/>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1295" w:type="dxa"/>
            <w:noWrap w:val="0"/>
            <w:vAlign w:val="center"/>
          </w:tcPr>
          <w:p>
            <w:pPr>
              <w:jc w:val="center"/>
              <w:rPr>
                <w:rFonts w:ascii="宋体" w:hAnsi="宋体" w:cs="宋体"/>
                <w:bCs/>
                <w:sz w:val="20"/>
              </w:rPr>
            </w:pPr>
            <w:r>
              <w:rPr>
                <w:rFonts w:hint="eastAsia"/>
                <w:sz w:val="20"/>
              </w:rPr>
              <w:t>股东全部权益价值</w:t>
            </w:r>
          </w:p>
        </w:tc>
        <w:tc>
          <w:tcPr>
            <w:tcW w:w="1210" w:type="dxa"/>
            <w:noWrap w:val="0"/>
            <w:vAlign w:val="top"/>
          </w:tcPr>
          <w:p>
            <w:pPr>
              <w:jc w:val="center"/>
              <w:rPr>
                <w:rFonts w:ascii="宋体" w:hAnsi="宋体" w:cs="宋体"/>
                <w:bCs/>
                <w:sz w:val="20"/>
              </w:rPr>
            </w:pPr>
            <w:r>
              <w:rPr>
                <w:rFonts w:hint="eastAsia"/>
                <w:sz w:val="20"/>
              </w:rPr>
              <w:t>1018.60</w:t>
            </w:r>
          </w:p>
        </w:tc>
        <w:tc>
          <w:tcPr>
            <w:tcW w:w="1460" w:type="dxa"/>
            <w:noWrap w:val="0"/>
            <w:vAlign w:val="top"/>
          </w:tcPr>
          <w:p>
            <w:pPr>
              <w:jc w:val="center"/>
              <w:rPr>
                <w:rFonts w:ascii="宋体" w:hAnsi="宋体" w:cs="宋体"/>
                <w:bCs/>
                <w:sz w:val="20"/>
              </w:rPr>
            </w:pPr>
            <w:r>
              <w:rPr>
                <w:rFonts w:hint="eastAsia"/>
                <w:sz w:val="20"/>
              </w:rPr>
              <w:t>1415.20</w:t>
            </w:r>
          </w:p>
        </w:tc>
        <w:tc>
          <w:tcPr>
            <w:tcW w:w="1146" w:type="dxa"/>
            <w:noWrap w:val="0"/>
            <w:vAlign w:val="top"/>
          </w:tcPr>
          <w:p>
            <w:pPr>
              <w:jc w:val="center"/>
              <w:rPr>
                <w:rFonts w:ascii="宋体" w:hAnsi="宋体" w:cs="宋体"/>
                <w:bCs/>
                <w:sz w:val="20"/>
              </w:rPr>
            </w:pPr>
            <w:r>
              <w:rPr>
                <w:rFonts w:hint="eastAsia"/>
                <w:sz w:val="20"/>
              </w:rPr>
              <w:t>396.60</w:t>
            </w:r>
          </w:p>
        </w:tc>
        <w:tc>
          <w:tcPr>
            <w:tcW w:w="1270" w:type="dxa"/>
            <w:noWrap w:val="0"/>
            <w:vAlign w:val="top"/>
          </w:tcPr>
          <w:p>
            <w:pPr>
              <w:jc w:val="center"/>
              <w:rPr>
                <w:rFonts w:ascii="宋体" w:hAnsi="宋体" w:cs="宋体"/>
                <w:bCs/>
                <w:sz w:val="20"/>
              </w:rPr>
            </w:pPr>
            <w:r>
              <w:rPr>
                <w:rFonts w:hint="eastAsia"/>
                <w:sz w:val="20"/>
              </w:rPr>
              <w:t>38.94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672" w:type="dxa"/>
            <w:noWrap w:val="0"/>
            <w:vAlign w:val="center"/>
          </w:tcPr>
          <w:p>
            <w:pPr>
              <w:jc w:val="center"/>
              <w:rPr>
                <w:rFonts w:ascii="宋体" w:hAnsi="宋体" w:cs="宋体"/>
                <w:bCs/>
                <w:sz w:val="20"/>
              </w:rPr>
            </w:pPr>
            <w:r>
              <w:rPr>
                <w:rFonts w:hint="eastAsia" w:ascii="宋体" w:hAnsi="宋体" w:cs="宋体"/>
                <w:bCs/>
                <w:sz w:val="20"/>
              </w:rPr>
              <w:t>7</w:t>
            </w:r>
          </w:p>
        </w:tc>
        <w:tc>
          <w:tcPr>
            <w:tcW w:w="1467" w:type="dxa"/>
            <w:noWrap w:val="0"/>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jc w:val="left"/>
              <w:rPr>
                <w:rFonts w:ascii="宋体" w:hAnsi="宋体" w:cs="宋体"/>
                <w:bCs/>
                <w:sz w:val="20"/>
              </w:rPr>
            </w:pPr>
            <w:r>
              <w:rPr>
                <w:rFonts w:hint="eastAsia" w:ascii="宋体" w:hAnsi="宋体" w:cs="宋体"/>
                <w:bCs/>
                <w:sz w:val="20"/>
              </w:rPr>
              <w:t>评估决策依据、比选评估机构资料及评估报告初稿纸质及电子资料在中煤水文局集团有限公司规划经营部。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E48B0"/>
    <w:rsid w:val="035E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2022-03-10T09:04:00Z</dcterms:created>
  <dc:creator>宣传处</dc:creator>
  <cp:lastModifiedBy>宣传处</cp:lastModifiedBy>
  <dcterms:modified xsi:type="dcterms:W3CDTF">2022-03-10T09:06:09Z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