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30"/>
          <w:szCs w:val="30"/>
        </w:rPr>
      </w:pPr>
      <w:r>
        <w:rPr>
          <w:rFonts w:hint="eastAsia" w:ascii="黑体" w:hAnsi="黑体" w:eastAsia="黑体" w:cs="黑体"/>
          <w:bCs/>
          <w:sz w:val="30"/>
          <w:szCs w:val="30"/>
        </w:rPr>
        <w:t>中国煤炭地质总局资产评估项目公示表</w:t>
      </w:r>
    </w:p>
    <w:p>
      <w:pPr>
        <w:ind w:left="-2" w:leftChars="-400" w:hanging="838" w:hangingChars="419"/>
        <w:jc w:val="left"/>
        <w:rPr>
          <w:rFonts w:ascii="宋体" w:hAnsi="宋体" w:cs="宋体"/>
          <w:bCs/>
          <w:sz w:val="20"/>
        </w:rPr>
      </w:pPr>
      <w:r>
        <w:rPr>
          <w:rFonts w:hint="eastAsia" w:ascii="宋体" w:hAnsi="宋体" w:cs="宋体"/>
          <w:bCs/>
          <w:sz w:val="20"/>
        </w:rPr>
        <w:t>评估项目：明达海洋工程有限公司拟增资扩股涉及的其股东全部权益价值</w:t>
      </w:r>
    </w:p>
    <w:p>
      <w:pPr>
        <w:ind w:left="-2" w:leftChars="-400" w:hanging="838" w:hangingChars="419"/>
        <w:jc w:val="left"/>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2</w:t>
      </w:r>
      <w:r>
        <w:rPr>
          <w:rFonts w:hint="eastAsia" w:ascii="宋体" w:hAnsi="宋体" w:cs="宋体"/>
          <w:bCs/>
          <w:sz w:val="20"/>
        </w:rPr>
        <w:t>年</w:t>
      </w:r>
      <w:r>
        <w:rPr>
          <w:rFonts w:hint="eastAsia" w:ascii="宋体" w:hAnsi="宋体" w:cs="宋体"/>
          <w:bCs/>
          <w:sz w:val="20"/>
          <w:lang w:val="en-US" w:eastAsia="zh-CN"/>
        </w:rPr>
        <w:t>3</w:t>
      </w:r>
      <w:r>
        <w:rPr>
          <w:rFonts w:hint="eastAsia" w:ascii="宋体" w:hAnsi="宋体" w:cs="宋体"/>
          <w:bCs/>
          <w:sz w:val="20"/>
        </w:rPr>
        <w:t>月</w:t>
      </w:r>
      <w:r>
        <w:rPr>
          <w:rFonts w:hint="eastAsia" w:ascii="宋体" w:hAnsi="宋体" w:cs="宋体"/>
          <w:bCs/>
          <w:sz w:val="20"/>
          <w:lang w:val="en-US" w:eastAsia="zh-CN"/>
        </w:rPr>
        <w:t>23</w:t>
      </w:r>
      <w:r>
        <w:rPr>
          <w:rFonts w:hint="eastAsia" w:ascii="宋体" w:hAnsi="宋体" w:cs="宋体"/>
          <w:bCs/>
          <w:sz w:val="20"/>
        </w:rPr>
        <w:t>日至202</w:t>
      </w:r>
      <w:r>
        <w:rPr>
          <w:rFonts w:hint="eastAsia" w:ascii="宋体" w:hAnsi="宋体" w:cs="宋体"/>
          <w:bCs/>
          <w:sz w:val="20"/>
          <w:lang w:val="en-US" w:eastAsia="zh-CN"/>
        </w:rPr>
        <w:t>2</w:t>
      </w:r>
      <w:r>
        <w:rPr>
          <w:rFonts w:hint="eastAsia" w:ascii="宋体" w:hAnsi="宋体" w:cs="宋体"/>
          <w:bCs/>
          <w:sz w:val="20"/>
        </w:rPr>
        <w:t>年</w:t>
      </w:r>
      <w:r>
        <w:rPr>
          <w:rFonts w:hint="eastAsia" w:ascii="宋体" w:hAnsi="宋体" w:cs="宋体"/>
          <w:bCs/>
          <w:sz w:val="20"/>
          <w:lang w:val="en-US" w:eastAsia="zh-CN"/>
        </w:rPr>
        <w:t>3</w:t>
      </w:r>
      <w:r>
        <w:rPr>
          <w:rFonts w:hint="eastAsia" w:ascii="宋体" w:hAnsi="宋体" w:cs="宋体"/>
          <w:bCs/>
          <w:sz w:val="20"/>
        </w:rPr>
        <w:t>月</w:t>
      </w:r>
      <w:r>
        <w:rPr>
          <w:rFonts w:hint="eastAsia" w:ascii="宋体" w:hAnsi="宋体" w:cs="宋体"/>
          <w:bCs/>
          <w:sz w:val="20"/>
          <w:lang w:val="en-US" w:eastAsia="zh-CN"/>
        </w:rPr>
        <w:t>29</w:t>
      </w:r>
      <w:r>
        <w:rPr>
          <w:rFonts w:hint="eastAsia" w:ascii="宋体" w:hAnsi="宋体" w:cs="宋体"/>
          <w:bCs/>
          <w:sz w:val="20"/>
        </w:rPr>
        <w:t>日</w:t>
      </w:r>
    </w:p>
    <w:tbl>
      <w:tblPr>
        <w:tblStyle w:val="2"/>
        <w:tblpPr w:leftFromText="180" w:rightFromText="180" w:vertAnchor="text" w:horzAnchor="page" w:tblpX="1125"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73"/>
        <w:gridCol w:w="2521"/>
        <w:gridCol w:w="1752"/>
        <w:gridCol w:w="1181"/>
        <w:gridCol w:w="132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48" w:type="dxa"/>
            <w:noWrap w:val="0"/>
            <w:vAlign w:val="center"/>
          </w:tcPr>
          <w:p>
            <w:pPr>
              <w:jc w:val="center"/>
              <w:rPr>
                <w:rFonts w:ascii="宋体" w:hAnsi="宋体" w:cs="宋体"/>
                <w:bCs/>
                <w:sz w:val="20"/>
              </w:rPr>
            </w:pPr>
            <w:r>
              <w:rPr>
                <w:rFonts w:hint="eastAsia" w:ascii="宋体" w:hAnsi="宋体" w:cs="宋体"/>
                <w:bCs/>
                <w:sz w:val="20"/>
              </w:rPr>
              <w:t>序号</w:t>
            </w:r>
          </w:p>
        </w:tc>
        <w:tc>
          <w:tcPr>
            <w:tcW w:w="1073" w:type="dxa"/>
            <w:noWrap w:val="0"/>
            <w:vAlign w:val="center"/>
          </w:tcPr>
          <w:p>
            <w:pPr>
              <w:jc w:val="center"/>
              <w:rPr>
                <w:rFonts w:ascii="宋体" w:hAnsi="宋体" w:cs="宋体"/>
                <w:bCs/>
                <w:sz w:val="20"/>
              </w:rPr>
            </w:pPr>
            <w:r>
              <w:rPr>
                <w:rFonts w:hint="eastAsia" w:ascii="宋体" w:hAnsi="宋体" w:cs="宋体"/>
                <w:bCs/>
                <w:sz w:val="20"/>
              </w:rPr>
              <w:t>公示项目</w:t>
            </w:r>
          </w:p>
        </w:tc>
        <w:tc>
          <w:tcPr>
            <w:tcW w:w="7913"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48" w:type="dxa"/>
            <w:noWrap w:val="0"/>
            <w:vAlign w:val="center"/>
          </w:tcPr>
          <w:p>
            <w:pPr>
              <w:jc w:val="center"/>
              <w:rPr>
                <w:rFonts w:ascii="宋体" w:hAnsi="宋体" w:cs="宋体"/>
                <w:bCs/>
                <w:sz w:val="20"/>
              </w:rPr>
            </w:pPr>
            <w:r>
              <w:rPr>
                <w:rFonts w:hint="eastAsia" w:ascii="宋体" w:hAnsi="宋体" w:cs="宋体"/>
                <w:bCs/>
                <w:sz w:val="20"/>
              </w:rPr>
              <w:t>1</w:t>
            </w:r>
          </w:p>
        </w:tc>
        <w:tc>
          <w:tcPr>
            <w:tcW w:w="1073" w:type="dxa"/>
            <w:noWrap w:val="0"/>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7913" w:type="dxa"/>
            <w:gridSpan w:val="5"/>
            <w:noWrap w:val="0"/>
            <w:vAlign w:val="center"/>
          </w:tcPr>
          <w:p>
            <w:pPr>
              <w:rPr>
                <w:rFonts w:ascii="宋体" w:hAnsi="宋体" w:cs="宋体"/>
                <w:bCs/>
                <w:sz w:val="20"/>
              </w:rPr>
            </w:pPr>
            <w:r>
              <w:rPr>
                <w:rFonts w:hint="eastAsia" w:ascii="宋体" w:hAnsi="宋体" w:cs="宋体"/>
                <w:bCs/>
                <w:sz w:val="20"/>
              </w:rPr>
              <w:t>《中化地址矿山总局关于明达海洋工程有限公司混合所有制改革立项的批复》(中化地矿规发(2021) 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8" w:type="dxa"/>
            <w:noWrap w:val="0"/>
            <w:vAlign w:val="center"/>
          </w:tcPr>
          <w:p>
            <w:pPr>
              <w:jc w:val="center"/>
              <w:rPr>
                <w:rFonts w:ascii="宋体" w:hAnsi="宋体" w:cs="宋体"/>
                <w:bCs/>
                <w:sz w:val="20"/>
              </w:rPr>
            </w:pPr>
            <w:r>
              <w:rPr>
                <w:rFonts w:hint="eastAsia" w:ascii="宋体" w:hAnsi="宋体" w:cs="宋体"/>
                <w:bCs/>
                <w:sz w:val="20"/>
              </w:rPr>
              <w:t>2</w:t>
            </w:r>
          </w:p>
        </w:tc>
        <w:tc>
          <w:tcPr>
            <w:tcW w:w="1073" w:type="dxa"/>
            <w:noWrap w:val="0"/>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7913" w:type="dxa"/>
            <w:gridSpan w:val="5"/>
            <w:noWrap w:val="0"/>
            <w:vAlign w:val="center"/>
          </w:tcPr>
          <w:p>
            <w:pPr>
              <w:rPr>
                <w:rFonts w:ascii="宋体" w:hAnsi="宋体" w:cs="宋体"/>
                <w:bCs/>
                <w:sz w:val="20"/>
              </w:rPr>
            </w:pPr>
            <w:r>
              <w:rPr>
                <w:rFonts w:hint="eastAsia" w:ascii="宋体" w:hAnsi="宋体" w:cs="宋体"/>
                <w:bCs/>
                <w:sz w:val="20"/>
              </w:rPr>
              <w:t>明达海洋工程有限公司向中化地质总局上报聘请中介机构的请示。中化地质矿山总局按照询价比选的方式，按照相关程序，从总局评估机构备选库中择优选择符合要求的评估机构。</w:t>
            </w:r>
            <w:r>
              <w:rPr>
                <w:rFonts w:ascii="宋体" w:hAnsi="宋体" w:cs="宋体"/>
                <w:bCs/>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48" w:type="dxa"/>
            <w:noWrap w:val="0"/>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073" w:type="dxa"/>
            <w:noWrap w:val="0"/>
            <w:vAlign w:val="center"/>
          </w:tcPr>
          <w:p>
            <w:pPr>
              <w:jc w:val="center"/>
              <w:rPr>
                <w:rFonts w:ascii="宋体" w:hAnsi="宋体" w:cs="宋体"/>
                <w:bCs/>
                <w:sz w:val="20"/>
              </w:rPr>
            </w:pPr>
            <w:r>
              <w:rPr>
                <w:rFonts w:hint="eastAsia" w:ascii="宋体" w:hAnsi="宋体" w:cs="宋体"/>
                <w:bCs/>
                <w:sz w:val="20"/>
              </w:rPr>
              <w:t>评估机构及评估师资质</w:t>
            </w:r>
          </w:p>
        </w:tc>
        <w:tc>
          <w:tcPr>
            <w:tcW w:w="7913" w:type="dxa"/>
            <w:gridSpan w:val="5"/>
            <w:noWrap w:val="0"/>
            <w:vAlign w:val="center"/>
          </w:tcPr>
          <w:p>
            <w:pPr>
              <w:rPr>
                <w:rFonts w:ascii="宋体" w:hAnsi="宋体" w:cs="宋体"/>
                <w:bCs/>
                <w:sz w:val="20"/>
              </w:rPr>
            </w:pPr>
            <w:r>
              <w:rPr>
                <w:rFonts w:hint="eastAsia" w:ascii="宋体" w:hAnsi="宋体" w:cs="宋体"/>
                <w:bCs/>
                <w:sz w:val="20"/>
              </w:rPr>
              <w:t>中联资产评估集团有限公司：米鑫 11060034；蒋卫锋 41060079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48" w:type="dxa"/>
            <w:noWrap w:val="0"/>
            <w:vAlign w:val="center"/>
          </w:tcPr>
          <w:p>
            <w:pPr>
              <w:jc w:val="center"/>
              <w:rPr>
                <w:rFonts w:ascii="宋体" w:hAnsi="宋体" w:cs="宋体"/>
                <w:bCs/>
                <w:sz w:val="20"/>
              </w:rPr>
            </w:pPr>
            <w:r>
              <w:rPr>
                <w:rFonts w:hint="eastAsia" w:ascii="宋体" w:hAnsi="宋体" w:cs="宋体"/>
                <w:bCs/>
                <w:sz w:val="20"/>
              </w:rPr>
              <w:t>4</w:t>
            </w:r>
          </w:p>
        </w:tc>
        <w:tc>
          <w:tcPr>
            <w:tcW w:w="1073" w:type="dxa"/>
            <w:noWrap w:val="0"/>
            <w:vAlign w:val="center"/>
          </w:tcPr>
          <w:p>
            <w:pPr>
              <w:jc w:val="center"/>
              <w:rPr>
                <w:rFonts w:ascii="宋体" w:hAnsi="宋体" w:cs="宋体"/>
                <w:bCs/>
                <w:sz w:val="20"/>
              </w:rPr>
            </w:pPr>
            <w:r>
              <w:rPr>
                <w:rFonts w:hint="eastAsia" w:ascii="宋体" w:hAnsi="宋体" w:cs="宋体"/>
                <w:bCs/>
                <w:sz w:val="20"/>
              </w:rPr>
              <w:t>评估程序履行及审核情况</w:t>
            </w:r>
          </w:p>
        </w:tc>
        <w:tc>
          <w:tcPr>
            <w:tcW w:w="7913" w:type="dxa"/>
            <w:gridSpan w:val="5"/>
            <w:noWrap w:val="0"/>
            <w:vAlign w:val="center"/>
          </w:tcPr>
          <w:p>
            <w:pPr>
              <w:widowControl/>
              <w:jc w:val="left"/>
              <w:rPr>
                <w:rFonts w:ascii="宋体" w:hAnsi="宋体" w:cs="宋体"/>
                <w:bCs/>
                <w:sz w:val="20"/>
              </w:rPr>
            </w:pPr>
            <w:r>
              <w:rPr>
                <w:rFonts w:hint="eastAsia" w:ascii="宋体" w:hAnsi="宋体" w:cs="宋体"/>
                <w:bCs/>
                <w:sz w:val="20"/>
              </w:rPr>
              <w:t>明达海洋工程有限公司选聘中联资产评估集团有限公司对明达海洋工程有限公司拟增资扩股涉及的其股东全部权益价值开展评估工作，并由中化地质矿山总局委托专家对评估报告初稿进行了审核并出具了审核意见，直至审核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548" w:type="dxa"/>
            <w:noWrap w:val="0"/>
            <w:vAlign w:val="center"/>
          </w:tcPr>
          <w:p>
            <w:pPr>
              <w:jc w:val="center"/>
              <w:rPr>
                <w:rFonts w:ascii="宋体" w:hAnsi="宋体" w:cs="宋体"/>
                <w:bCs/>
                <w:sz w:val="20"/>
              </w:rPr>
            </w:pPr>
            <w:r>
              <w:rPr>
                <w:rFonts w:hint="eastAsia" w:ascii="宋体" w:hAnsi="宋体" w:cs="宋体"/>
                <w:bCs/>
                <w:sz w:val="20"/>
              </w:rPr>
              <w:t>5</w:t>
            </w:r>
          </w:p>
        </w:tc>
        <w:tc>
          <w:tcPr>
            <w:tcW w:w="1073" w:type="dxa"/>
            <w:noWrap w:val="0"/>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7913" w:type="dxa"/>
            <w:gridSpan w:val="5"/>
            <w:noWrap w:val="0"/>
            <w:vAlign w:val="center"/>
          </w:tcPr>
          <w:p>
            <w:pPr>
              <w:widowControl/>
              <w:jc w:val="left"/>
              <w:rPr>
                <w:rFonts w:ascii="宋体" w:hAnsi="宋体" w:cs="宋体"/>
                <w:bCs/>
                <w:sz w:val="20"/>
              </w:rPr>
            </w:pPr>
            <w:r>
              <w:rPr>
                <w:rFonts w:hint="eastAsia" w:ascii="宋体" w:hAnsi="宋体" w:cs="宋体"/>
                <w:bCs/>
                <w:sz w:val="20"/>
              </w:rPr>
              <w:t>评估报告摘要：中联资产评估集团有限公司接受明达海洋工程有限公司的委托，就明达海洋工程有限公司拟增资扩股之经济行为，所涉及的明达海洋工程有限公司的股东全部权益价值在评估基准日的市场价值进行了评估。评估对象为明达海洋工程有限公司的股东全部权益，评估范围是明达海洋工程有限公司的全部资产及负债，包括流动资产和非流动资产及相应负债。评估基准日为2021年6月30日。本次评估的价值类型为市场价值本次评估以持续使用和公开市场为前提，结合委托评估对象的实际情况，综合考虑各种影响因素，采用资产基础法、收益法对明达海洋工程有限公司进行整体评估，然后加以校核比较，考虑评估方法的适用前提及满足评估目的，本次选用收益法评估结果作为最终评估结论。基于被评估单位及企业管理层对未来发展趋势的判断及经营规划，经实施清查核实、实地查勘、市场调查和询证、评定估算等评估程序，得出明达海洋工程有限公司的股东全部权益价值在评估基准日2021年6月30日的评估结论如下:股东全部权益账面值5112.85万元评估值为634557万元评估增值1.232.72万元，增值率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48" w:type="dxa"/>
            <w:vMerge w:val="restart"/>
            <w:noWrap w:val="0"/>
            <w:vAlign w:val="center"/>
          </w:tcPr>
          <w:p>
            <w:pPr>
              <w:jc w:val="center"/>
              <w:rPr>
                <w:rFonts w:ascii="宋体" w:hAnsi="宋体" w:cs="宋体"/>
                <w:bCs/>
                <w:sz w:val="20"/>
              </w:rPr>
            </w:pPr>
            <w:r>
              <w:rPr>
                <w:rFonts w:hint="eastAsia" w:ascii="宋体" w:hAnsi="宋体" w:cs="宋体"/>
                <w:bCs/>
                <w:sz w:val="20"/>
              </w:rPr>
              <w:t>6</w:t>
            </w:r>
          </w:p>
          <w:p>
            <w:pPr>
              <w:jc w:val="center"/>
              <w:rPr>
                <w:rFonts w:ascii="宋体" w:hAnsi="宋体" w:cs="宋体"/>
                <w:bCs/>
                <w:sz w:val="20"/>
              </w:rPr>
            </w:pPr>
          </w:p>
        </w:tc>
        <w:tc>
          <w:tcPr>
            <w:tcW w:w="1073" w:type="dxa"/>
            <w:vMerge w:val="restart"/>
            <w:noWrap w:val="0"/>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hint="eastAsia" w:ascii="宋体" w:hAnsi="宋体" w:cs="宋体"/>
                <w:bCs/>
                <w:sz w:val="20"/>
              </w:rPr>
            </w:pPr>
            <w:r>
              <w:rPr>
                <w:rFonts w:hint="eastAsia" w:ascii="宋体" w:hAnsi="宋体" w:cs="宋体"/>
                <w:bCs/>
                <w:sz w:val="20"/>
              </w:rPr>
              <w:t>（单位：万元）</w:t>
            </w:r>
          </w:p>
        </w:tc>
        <w:tc>
          <w:tcPr>
            <w:tcW w:w="2521" w:type="dxa"/>
            <w:noWrap w:val="0"/>
            <w:vAlign w:val="center"/>
          </w:tcPr>
          <w:p>
            <w:pPr>
              <w:jc w:val="center"/>
              <w:rPr>
                <w:rFonts w:ascii="宋体" w:hAnsi="宋体" w:cs="宋体"/>
                <w:bCs/>
                <w:sz w:val="20"/>
              </w:rPr>
            </w:pPr>
            <w:r>
              <w:rPr>
                <w:rFonts w:hint="eastAsia" w:ascii="宋体" w:hAnsi="宋体" w:cs="宋体"/>
                <w:bCs/>
                <w:sz w:val="20"/>
              </w:rPr>
              <w:t>项  目</w:t>
            </w:r>
          </w:p>
        </w:tc>
        <w:tc>
          <w:tcPr>
            <w:tcW w:w="1752" w:type="dxa"/>
            <w:noWrap w:val="0"/>
            <w:vAlign w:val="center"/>
          </w:tcPr>
          <w:p>
            <w:pPr>
              <w:jc w:val="center"/>
              <w:rPr>
                <w:rFonts w:ascii="宋体" w:hAnsi="宋体" w:cs="宋体"/>
                <w:bCs/>
                <w:sz w:val="20"/>
              </w:rPr>
            </w:pPr>
            <w:r>
              <w:rPr>
                <w:rFonts w:hint="eastAsia" w:ascii="宋体" w:hAnsi="宋体" w:cs="宋体"/>
                <w:bCs/>
                <w:sz w:val="20"/>
              </w:rPr>
              <w:t>账面价值</w:t>
            </w:r>
          </w:p>
        </w:tc>
        <w:tc>
          <w:tcPr>
            <w:tcW w:w="1181" w:type="dxa"/>
            <w:noWrap w:val="0"/>
            <w:vAlign w:val="center"/>
          </w:tcPr>
          <w:p>
            <w:pPr>
              <w:jc w:val="center"/>
              <w:rPr>
                <w:rFonts w:hint="eastAsia" w:ascii="宋体" w:hAnsi="宋体" w:cs="宋体"/>
                <w:bCs/>
                <w:sz w:val="20"/>
              </w:rPr>
            </w:pPr>
            <w:r>
              <w:rPr>
                <w:rFonts w:hint="eastAsia" w:ascii="宋体" w:hAnsi="宋体" w:cs="宋体"/>
                <w:bCs/>
                <w:sz w:val="20"/>
              </w:rPr>
              <w:t>评估值</w:t>
            </w:r>
          </w:p>
        </w:tc>
        <w:tc>
          <w:tcPr>
            <w:tcW w:w="1320" w:type="dxa"/>
            <w:noWrap w:val="0"/>
            <w:vAlign w:val="center"/>
          </w:tcPr>
          <w:p>
            <w:pPr>
              <w:jc w:val="center"/>
              <w:rPr>
                <w:rFonts w:ascii="宋体" w:hAnsi="宋体" w:cs="宋体"/>
                <w:bCs/>
                <w:sz w:val="20"/>
              </w:rPr>
            </w:pPr>
            <w:r>
              <w:rPr>
                <w:rFonts w:hint="eastAsia" w:ascii="宋体" w:hAnsi="宋体" w:cs="宋体"/>
                <w:bCs/>
                <w:sz w:val="20"/>
              </w:rPr>
              <w:t>增减值</w:t>
            </w:r>
          </w:p>
        </w:tc>
        <w:tc>
          <w:tcPr>
            <w:tcW w:w="1139" w:type="dxa"/>
            <w:noWrap w:val="0"/>
            <w:vAlign w:val="center"/>
          </w:tcPr>
          <w:p>
            <w:pPr>
              <w:jc w:val="center"/>
              <w:rPr>
                <w:rFonts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8" w:type="dxa"/>
            <w:vMerge w:val="continue"/>
            <w:noWrap w:val="0"/>
            <w:vAlign w:val="center"/>
          </w:tcPr>
          <w:p>
            <w:pPr>
              <w:jc w:val="center"/>
              <w:rPr>
                <w:rFonts w:hint="eastAsia" w:ascii="宋体" w:hAnsi="宋体" w:cs="宋体"/>
                <w:bCs/>
                <w:sz w:val="20"/>
              </w:rPr>
            </w:pPr>
          </w:p>
        </w:tc>
        <w:tc>
          <w:tcPr>
            <w:tcW w:w="1073" w:type="dxa"/>
            <w:vMerge w:val="continue"/>
            <w:noWrap w:val="0"/>
            <w:vAlign w:val="center"/>
          </w:tcPr>
          <w:p>
            <w:pPr>
              <w:jc w:val="center"/>
              <w:rPr>
                <w:rFonts w:hint="eastAsia" w:ascii="宋体" w:hAnsi="宋体" w:cs="宋体"/>
                <w:bCs/>
                <w:sz w:val="20"/>
              </w:rPr>
            </w:pPr>
          </w:p>
        </w:tc>
        <w:tc>
          <w:tcPr>
            <w:tcW w:w="2521" w:type="dxa"/>
            <w:noWrap w:val="0"/>
            <w:vAlign w:val="center"/>
          </w:tcPr>
          <w:p>
            <w:pPr>
              <w:jc w:val="center"/>
              <w:rPr>
                <w:rFonts w:hint="eastAsia" w:ascii="宋体" w:hAnsi="宋体" w:cs="宋体"/>
                <w:bCs/>
                <w:sz w:val="20"/>
              </w:rPr>
            </w:pPr>
            <w:r>
              <w:fldChar w:fldCharType="begin"/>
            </w:r>
            <w:r>
              <w:instrText xml:space="preserve"> HYPERLINK "file:///C:\\Users\\jiaoy\\Desktop\\2019年项目\\19150115B莱特迈思\\报告及说明\\1、资产基础法评估明细表（北京总部）1.8-jiao.xlsx" \l "分类汇总!B62" </w:instrText>
            </w:r>
            <w:r>
              <w:fldChar w:fldCharType="separate"/>
            </w:r>
            <w:r>
              <w:rPr>
                <w:rStyle w:val="4"/>
                <w:rFonts w:hint="eastAsia"/>
                <w:b/>
                <w:bCs/>
                <w:color w:val="auto"/>
                <w:sz w:val="20"/>
                <w:u w:val="none"/>
              </w:rPr>
              <w:t>资产总计</w:t>
            </w:r>
            <w:r>
              <w:fldChar w:fldCharType="end"/>
            </w:r>
          </w:p>
        </w:tc>
        <w:tc>
          <w:tcPr>
            <w:tcW w:w="1752" w:type="dxa"/>
            <w:noWrap w:val="0"/>
            <w:vAlign w:val="center"/>
          </w:tcPr>
          <w:p>
            <w:pPr>
              <w:jc w:val="center"/>
              <w:rPr>
                <w:rFonts w:hint="eastAsia" w:ascii="宋体" w:hAnsi="宋体" w:cs="宋体"/>
                <w:bCs/>
                <w:sz w:val="20"/>
              </w:rPr>
            </w:pPr>
            <w:r>
              <w:rPr>
                <w:rFonts w:hint="eastAsia"/>
                <w:b/>
                <w:bCs/>
                <w:sz w:val="20"/>
              </w:rPr>
              <w:t>27899.97</w:t>
            </w:r>
          </w:p>
        </w:tc>
        <w:tc>
          <w:tcPr>
            <w:tcW w:w="1181" w:type="dxa"/>
            <w:noWrap w:val="0"/>
            <w:vAlign w:val="center"/>
          </w:tcPr>
          <w:p>
            <w:pPr>
              <w:jc w:val="center"/>
              <w:rPr>
                <w:rFonts w:hint="eastAsia" w:ascii="宋体" w:hAnsi="宋体" w:cs="宋体"/>
                <w:bCs/>
                <w:sz w:val="20"/>
              </w:rPr>
            </w:pPr>
            <w:r>
              <w:rPr>
                <w:rFonts w:hint="eastAsia" w:ascii="宋体" w:hAnsi="宋体" w:cs="宋体"/>
                <w:bCs/>
                <w:sz w:val="20"/>
              </w:rPr>
              <w:t>-</w:t>
            </w:r>
          </w:p>
        </w:tc>
        <w:tc>
          <w:tcPr>
            <w:tcW w:w="1320" w:type="dxa"/>
            <w:noWrap w:val="0"/>
            <w:vAlign w:val="center"/>
          </w:tcPr>
          <w:p>
            <w:pPr>
              <w:jc w:val="center"/>
              <w:rPr>
                <w:rFonts w:ascii="宋体" w:hAnsi="宋体" w:cs="宋体"/>
                <w:bCs/>
                <w:sz w:val="20"/>
              </w:rPr>
            </w:pPr>
            <w:r>
              <w:rPr>
                <w:rFonts w:hint="eastAsia" w:ascii="宋体" w:hAnsi="宋体" w:cs="宋体"/>
                <w:bCs/>
                <w:sz w:val="20"/>
              </w:rPr>
              <w:t>-</w:t>
            </w:r>
          </w:p>
        </w:tc>
        <w:tc>
          <w:tcPr>
            <w:tcW w:w="1139" w:type="dxa"/>
            <w:noWrap w:val="0"/>
            <w:vAlign w:val="center"/>
          </w:tcPr>
          <w:p>
            <w:pPr>
              <w:jc w:val="center"/>
              <w:rPr>
                <w:rFonts w:ascii="宋体" w:hAnsi="宋体" w:cs="宋体"/>
                <w:bCs/>
                <w:sz w:val="20"/>
              </w:rPr>
            </w:pPr>
            <w:r>
              <w:rPr>
                <w:rFonts w:hint="eastAsia" w:ascii="宋体" w:hAnsi="宋体" w:cs="宋体"/>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48" w:type="dxa"/>
            <w:vMerge w:val="continue"/>
            <w:noWrap w:val="0"/>
            <w:vAlign w:val="center"/>
          </w:tcPr>
          <w:p>
            <w:pPr>
              <w:jc w:val="center"/>
              <w:rPr>
                <w:rFonts w:hint="eastAsia" w:ascii="宋体" w:hAnsi="宋体" w:cs="宋体"/>
                <w:bCs/>
                <w:sz w:val="20"/>
              </w:rPr>
            </w:pPr>
          </w:p>
        </w:tc>
        <w:tc>
          <w:tcPr>
            <w:tcW w:w="1073" w:type="dxa"/>
            <w:vMerge w:val="continue"/>
            <w:noWrap w:val="0"/>
            <w:vAlign w:val="center"/>
          </w:tcPr>
          <w:p>
            <w:pPr>
              <w:jc w:val="center"/>
              <w:rPr>
                <w:rFonts w:hint="eastAsia" w:ascii="宋体" w:hAnsi="宋体" w:cs="宋体"/>
                <w:bCs/>
                <w:sz w:val="20"/>
              </w:rPr>
            </w:pPr>
          </w:p>
        </w:tc>
        <w:tc>
          <w:tcPr>
            <w:tcW w:w="2521" w:type="dxa"/>
            <w:noWrap w:val="0"/>
            <w:vAlign w:val="center"/>
          </w:tcPr>
          <w:p>
            <w:pPr>
              <w:jc w:val="center"/>
              <w:outlineLvl w:val="0"/>
              <w:rPr>
                <w:rFonts w:hint="eastAsia" w:ascii="宋体" w:hAnsi="宋体" w:cs="宋体"/>
                <w:b/>
                <w:sz w:val="20"/>
              </w:rPr>
            </w:pPr>
            <w:r>
              <w:rPr>
                <w:rFonts w:hint="eastAsia" w:ascii="宋体" w:hAnsi="宋体" w:cs="宋体"/>
                <w:b/>
                <w:sz w:val="20"/>
              </w:rPr>
              <w:t>负债总计</w:t>
            </w:r>
          </w:p>
        </w:tc>
        <w:tc>
          <w:tcPr>
            <w:tcW w:w="1752" w:type="dxa"/>
            <w:noWrap w:val="0"/>
            <w:vAlign w:val="center"/>
          </w:tcPr>
          <w:p>
            <w:pPr>
              <w:jc w:val="center"/>
              <w:rPr>
                <w:rFonts w:hint="eastAsia" w:ascii="宋体" w:hAnsi="宋体" w:cs="宋体"/>
                <w:b/>
                <w:sz w:val="20"/>
              </w:rPr>
            </w:pPr>
            <w:r>
              <w:rPr>
                <w:rFonts w:hint="eastAsia"/>
                <w:b/>
                <w:bCs/>
                <w:sz w:val="20"/>
              </w:rPr>
              <w:t>22787.12</w:t>
            </w:r>
          </w:p>
        </w:tc>
        <w:tc>
          <w:tcPr>
            <w:tcW w:w="1181" w:type="dxa"/>
            <w:noWrap w:val="0"/>
            <w:vAlign w:val="center"/>
          </w:tcPr>
          <w:p>
            <w:pPr>
              <w:jc w:val="center"/>
              <w:rPr>
                <w:rFonts w:hint="eastAsia" w:ascii="宋体" w:hAnsi="宋体" w:cs="宋体"/>
                <w:b/>
                <w:sz w:val="20"/>
              </w:rPr>
            </w:pPr>
            <w:r>
              <w:rPr>
                <w:rFonts w:hint="eastAsia" w:ascii="宋体" w:hAnsi="宋体" w:cs="宋体"/>
                <w:b/>
                <w:sz w:val="20"/>
              </w:rPr>
              <w:t>-</w:t>
            </w:r>
          </w:p>
        </w:tc>
        <w:tc>
          <w:tcPr>
            <w:tcW w:w="1320" w:type="dxa"/>
            <w:noWrap w:val="0"/>
            <w:vAlign w:val="center"/>
          </w:tcPr>
          <w:p>
            <w:pPr>
              <w:jc w:val="center"/>
              <w:rPr>
                <w:rFonts w:hint="eastAsia" w:ascii="宋体" w:hAnsi="宋体" w:cs="宋体"/>
                <w:bCs/>
                <w:sz w:val="20"/>
              </w:rPr>
            </w:pPr>
            <w:r>
              <w:rPr>
                <w:rFonts w:hint="eastAsia" w:ascii="宋体" w:hAnsi="宋体" w:cs="宋体"/>
                <w:bCs/>
                <w:sz w:val="20"/>
              </w:rPr>
              <w:t>-</w:t>
            </w:r>
          </w:p>
        </w:tc>
        <w:tc>
          <w:tcPr>
            <w:tcW w:w="1139" w:type="dxa"/>
            <w:noWrap w:val="0"/>
            <w:vAlign w:val="center"/>
          </w:tcPr>
          <w:p>
            <w:pPr>
              <w:jc w:val="center"/>
              <w:rPr>
                <w:rFonts w:hint="eastAsia" w:ascii="宋体" w:hAnsi="宋体" w:cs="宋体"/>
                <w:bCs/>
                <w:sz w:val="20"/>
              </w:rPr>
            </w:pPr>
            <w:r>
              <w:rPr>
                <w:rFonts w:hint="eastAsia" w:ascii="宋体" w:hAnsi="宋体" w:cs="宋体"/>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8" w:type="dxa"/>
            <w:vMerge w:val="continue"/>
            <w:noWrap w:val="0"/>
            <w:vAlign w:val="center"/>
          </w:tcPr>
          <w:p>
            <w:pPr>
              <w:jc w:val="center"/>
              <w:rPr>
                <w:rFonts w:hint="eastAsia" w:ascii="宋体" w:hAnsi="宋体" w:cs="宋体"/>
                <w:bCs/>
                <w:sz w:val="20"/>
              </w:rPr>
            </w:pPr>
          </w:p>
        </w:tc>
        <w:tc>
          <w:tcPr>
            <w:tcW w:w="1073" w:type="dxa"/>
            <w:vMerge w:val="continue"/>
            <w:noWrap w:val="0"/>
            <w:vAlign w:val="center"/>
          </w:tcPr>
          <w:p>
            <w:pPr>
              <w:jc w:val="center"/>
              <w:rPr>
                <w:rFonts w:hint="eastAsia" w:ascii="宋体" w:hAnsi="宋体" w:cs="宋体"/>
                <w:bCs/>
                <w:sz w:val="20"/>
              </w:rPr>
            </w:pPr>
          </w:p>
        </w:tc>
        <w:tc>
          <w:tcPr>
            <w:tcW w:w="2521" w:type="dxa"/>
            <w:noWrap w:val="0"/>
            <w:vAlign w:val="center"/>
          </w:tcPr>
          <w:p>
            <w:pPr>
              <w:jc w:val="center"/>
              <w:rPr>
                <w:rFonts w:hint="eastAsia" w:ascii="宋体" w:hAnsi="宋体" w:cs="宋体"/>
                <w:b/>
                <w:sz w:val="20"/>
              </w:rPr>
            </w:pPr>
            <w:r>
              <w:rPr>
                <w:rFonts w:hint="eastAsia" w:ascii="宋体" w:hAnsi="宋体" w:cs="宋体"/>
                <w:b/>
                <w:sz w:val="20"/>
              </w:rPr>
              <w:t>净资产（所有者权益））</w:t>
            </w:r>
          </w:p>
        </w:tc>
        <w:tc>
          <w:tcPr>
            <w:tcW w:w="1752" w:type="dxa"/>
            <w:noWrap w:val="0"/>
            <w:vAlign w:val="center"/>
          </w:tcPr>
          <w:p>
            <w:pPr>
              <w:jc w:val="center"/>
              <w:rPr>
                <w:rFonts w:hint="eastAsia"/>
                <w:b/>
                <w:bCs/>
                <w:sz w:val="20"/>
              </w:rPr>
            </w:pPr>
            <w:r>
              <w:rPr>
                <w:rFonts w:hint="eastAsia"/>
                <w:b/>
                <w:bCs/>
                <w:sz w:val="20"/>
              </w:rPr>
              <w:t>5112.85</w:t>
            </w:r>
          </w:p>
        </w:tc>
        <w:tc>
          <w:tcPr>
            <w:tcW w:w="1181" w:type="dxa"/>
            <w:noWrap w:val="0"/>
            <w:vAlign w:val="center"/>
          </w:tcPr>
          <w:p>
            <w:pPr>
              <w:jc w:val="center"/>
              <w:rPr>
                <w:rFonts w:hint="eastAsia"/>
                <w:b/>
                <w:bCs/>
                <w:sz w:val="20"/>
              </w:rPr>
            </w:pPr>
            <w:r>
              <w:rPr>
                <w:rFonts w:hint="eastAsia"/>
                <w:b/>
                <w:bCs/>
                <w:sz w:val="20"/>
              </w:rPr>
              <w:t>6,345.57</w:t>
            </w:r>
          </w:p>
        </w:tc>
        <w:tc>
          <w:tcPr>
            <w:tcW w:w="1320" w:type="dxa"/>
            <w:noWrap w:val="0"/>
            <w:vAlign w:val="center"/>
          </w:tcPr>
          <w:p>
            <w:pPr>
              <w:jc w:val="center"/>
              <w:rPr>
                <w:rFonts w:hint="eastAsia"/>
                <w:b/>
                <w:bCs/>
                <w:sz w:val="20"/>
              </w:rPr>
            </w:pPr>
            <w:r>
              <w:rPr>
                <w:rFonts w:hint="eastAsia"/>
                <w:b/>
                <w:bCs/>
                <w:sz w:val="20"/>
              </w:rPr>
              <w:t>1,232.72</w:t>
            </w:r>
          </w:p>
        </w:tc>
        <w:tc>
          <w:tcPr>
            <w:tcW w:w="1139" w:type="dxa"/>
            <w:noWrap w:val="0"/>
            <w:vAlign w:val="center"/>
          </w:tcPr>
          <w:p>
            <w:pPr>
              <w:jc w:val="center"/>
              <w:rPr>
                <w:rFonts w:hint="eastAsia"/>
                <w:b/>
                <w:bCs/>
                <w:sz w:val="20"/>
              </w:rPr>
            </w:pPr>
            <w:r>
              <w:rPr>
                <w:rFonts w:hint="eastAsia"/>
                <w:b/>
                <w:bCs/>
                <w:sz w:val="20"/>
              </w:rPr>
              <w:t>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48" w:type="dxa"/>
            <w:noWrap w:val="0"/>
            <w:vAlign w:val="center"/>
          </w:tcPr>
          <w:p>
            <w:pPr>
              <w:jc w:val="center"/>
              <w:rPr>
                <w:rFonts w:ascii="宋体" w:hAnsi="宋体" w:cs="宋体"/>
                <w:bCs/>
                <w:sz w:val="20"/>
              </w:rPr>
            </w:pPr>
            <w:r>
              <w:rPr>
                <w:rFonts w:hint="eastAsia" w:ascii="宋体" w:hAnsi="宋体" w:cs="宋体"/>
                <w:bCs/>
                <w:sz w:val="20"/>
              </w:rPr>
              <w:t>7</w:t>
            </w:r>
          </w:p>
        </w:tc>
        <w:tc>
          <w:tcPr>
            <w:tcW w:w="1073"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7913" w:type="dxa"/>
            <w:gridSpan w:val="5"/>
            <w:noWrap w:val="0"/>
            <w:vAlign w:val="center"/>
          </w:tcPr>
          <w:p>
            <w:pPr>
              <w:jc w:val="left"/>
              <w:rPr>
                <w:rFonts w:ascii="宋体" w:hAnsi="宋体" w:cs="宋体"/>
                <w:bCs/>
                <w:sz w:val="20"/>
              </w:rPr>
            </w:pPr>
            <w:r>
              <w:rPr>
                <w:rFonts w:hint="eastAsia" w:ascii="宋体" w:hAnsi="宋体" w:cs="宋体"/>
                <w:bCs/>
                <w:sz w:val="20"/>
              </w:rPr>
              <w:t>评估决策依据、比选评估机构资料及评估报告初稿纸质及电子资料在中化地质矿山总局资产财务部。</w:t>
            </w:r>
          </w:p>
        </w:tc>
      </w:tr>
    </w:tbl>
    <w:p>
      <w:pPr>
        <w:rPr>
          <w:rFonts w:hint="eastAsia" w:ascii="宋体" w:hAnsi="宋体" w:cs="宋体"/>
          <w:bCs/>
          <w:sz w:val="20"/>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4526E"/>
    <w:rsid w:val="6EB4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2022-03-22T08:44:00Z</dcterms:created>
  <dc:creator>宣传处</dc:creator>
  <cp:lastModifiedBy>宣传处</cp:lastModifiedBy>
  <dcterms:modified xsi:type="dcterms:W3CDTF">2022-03-22T08:44:57Z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6F945897FA9C41838F50BED74E617666</vt:lpwstr>
  </property>
</Properties>
</file>